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A9C6" w14:textId="1CBCC2F6" w:rsidR="00B4750C" w:rsidRPr="00EB3054" w:rsidRDefault="00EB3054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  <w:r w:rsidRPr="00EB3054">
        <w:rPr>
          <w:rFonts w:ascii="Arial" w:hAnsi="Arial" w:cs="Arial"/>
          <w:b/>
          <w:bCs/>
          <w:sz w:val="22"/>
          <w:szCs w:val="22"/>
          <w:lang w:val="el-GR"/>
        </w:rPr>
        <w:t>ΛΟΓΟΙ ΠΟΥ ΔΕΝ ΖΗΤΕΙΤΑΙ ΓΟΝΙΔΙΑΚΗ ΥΠΟΓΡΑΦΗ ΣΤΟΥΣ ΚΑΡΚΙΝΟΥΣ ΜΑΣΤΟΥ ΣΩΛΗΝΩΔΟΥΣ (LUMINAL) ΥΠΟΤΥΠΟΥ</w:t>
      </w:r>
    </w:p>
    <w:p w14:paraId="6BB57C98" w14:textId="4BF7F912" w:rsidR="0067124F" w:rsidRPr="00203B10" w:rsidRDefault="0067124F" w:rsidP="0044457B">
      <w:pPr>
        <w:spacing w:line="240" w:lineRule="auto"/>
        <w:ind w:left="284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t>Μιχάλης Κοντός</w:t>
      </w:r>
      <w:r w:rsidRPr="00203B10">
        <w:rPr>
          <w:rFonts w:ascii="Arial" w:hAnsi="Arial" w:cs="Arial"/>
          <w:sz w:val="22"/>
          <w:szCs w:val="22"/>
          <w:vertAlign w:val="superscript"/>
          <w:lang w:val="el-GR"/>
        </w:rPr>
        <w:t>1</w:t>
      </w:r>
      <w:r w:rsidRPr="00203B10">
        <w:rPr>
          <w:rFonts w:ascii="Arial" w:hAnsi="Arial" w:cs="Arial"/>
          <w:sz w:val="22"/>
          <w:szCs w:val="22"/>
          <w:lang w:val="el-GR"/>
        </w:rPr>
        <w:t>, Απόστολος Ζαβός</w:t>
      </w:r>
      <w:r w:rsidRPr="00203B10">
        <w:rPr>
          <w:rFonts w:ascii="Arial" w:hAnsi="Arial" w:cs="Arial"/>
          <w:sz w:val="22"/>
          <w:szCs w:val="22"/>
          <w:vertAlign w:val="superscript"/>
          <w:lang w:val="el-GR"/>
        </w:rPr>
        <w:t>2</w:t>
      </w:r>
      <w:r w:rsidRPr="00203B10">
        <w:rPr>
          <w:rFonts w:ascii="Arial" w:hAnsi="Arial" w:cs="Arial"/>
          <w:sz w:val="22"/>
          <w:szCs w:val="22"/>
          <w:lang w:val="el-GR"/>
        </w:rPr>
        <w:t>, Γεώργιος Μεταξάς</w:t>
      </w:r>
      <w:r w:rsidRPr="00203B10">
        <w:rPr>
          <w:rFonts w:ascii="Arial" w:hAnsi="Arial" w:cs="Arial"/>
          <w:sz w:val="22"/>
          <w:szCs w:val="22"/>
          <w:vertAlign w:val="superscript"/>
          <w:lang w:val="el-GR"/>
        </w:rPr>
        <w:t>3</w:t>
      </w:r>
      <w:r w:rsidRPr="00203B10">
        <w:rPr>
          <w:rFonts w:ascii="Arial" w:hAnsi="Arial" w:cs="Arial"/>
          <w:sz w:val="22"/>
          <w:szCs w:val="22"/>
          <w:lang w:val="el-GR"/>
        </w:rPr>
        <w:t>, Μαρία Καναρά</w:t>
      </w:r>
      <w:r w:rsidRPr="00203B10">
        <w:rPr>
          <w:rFonts w:ascii="Arial" w:hAnsi="Arial" w:cs="Arial"/>
          <w:sz w:val="22"/>
          <w:szCs w:val="22"/>
          <w:vertAlign w:val="superscript"/>
          <w:lang w:val="el-GR"/>
        </w:rPr>
        <w:t>4</w:t>
      </w:r>
      <w:r w:rsidRPr="00203B10">
        <w:rPr>
          <w:rFonts w:ascii="Arial" w:hAnsi="Arial" w:cs="Arial"/>
          <w:sz w:val="22"/>
          <w:szCs w:val="22"/>
          <w:lang w:val="el-GR"/>
        </w:rPr>
        <w:t>, Άννα Φωκιανού</w:t>
      </w:r>
      <w:r w:rsidRPr="00203B10">
        <w:rPr>
          <w:rFonts w:ascii="Arial" w:hAnsi="Arial" w:cs="Arial"/>
          <w:sz w:val="22"/>
          <w:szCs w:val="22"/>
          <w:vertAlign w:val="superscript"/>
          <w:lang w:val="el-GR"/>
        </w:rPr>
        <w:t>5</w:t>
      </w:r>
      <w:r w:rsidRPr="00203B10">
        <w:rPr>
          <w:rFonts w:ascii="Arial" w:hAnsi="Arial" w:cs="Arial"/>
          <w:sz w:val="22"/>
          <w:szCs w:val="22"/>
          <w:lang w:val="el-GR"/>
        </w:rPr>
        <w:t>, Χρήστος Στεφάνου</w:t>
      </w:r>
      <w:r w:rsidR="00FC3E92" w:rsidRPr="00FC3E92">
        <w:rPr>
          <w:rFonts w:ascii="Arial" w:hAnsi="Arial" w:cs="Arial"/>
          <w:sz w:val="22"/>
          <w:szCs w:val="22"/>
          <w:vertAlign w:val="superscript"/>
          <w:lang w:val="el-GR"/>
        </w:rPr>
        <w:t>6</w:t>
      </w:r>
      <w:r w:rsidRPr="00203B10">
        <w:rPr>
          <w:rFonts w:ascii="Arial" w:hAnsi="Arial" w:cs="Arial"/>
          <w:sz w:val="22"/>
          <w:szCs w:val="22"/>
          <w:lang w:val="el-GR"/>
        </w:rPr>
        <w:t>, Πέτρος Χαραλαμπούδης</w:t>
      </w:r>
      <w:r w:rsidR="00FC3E92">
        <w:rPr>
          <w:rFonts w:ascii="Arial" w:hAnsi="Arial" w:cs="Arial"/>
          <w:sz w:val="22"/>
          <w:szCs w:val="22"/>
          <w:vertAlign w:val="superscript"/>
          <w:lang w:val="el-GR"/>
        </w:rPr>
        <w:t>7</w:t>
      </w:r>
      <w:r w:rsidRPr="00203B10">
        <w:rPr>
          <w:rFonts w:ascii="Arial" w:hAnsi="Arial" w:cs="Arial"/>
          <w:sz w:val="22"/>
          <w:szCs w:val="22"/>
          <w:lang w:val="el-GR"/>
        </w:rPr>
        <w:t>, Βασίλειος Καλλές</w:t>
      </w:r>
      <w:r w:rsidR="004B47DF" w:rsidRPr="004B47DF">
        <w:rPr>
          <w:rFonts w:ascii="Arial" w:hAnsi="Arial" w:cs="Arial"/>
          <w:sz w:val="22"/>
          <w:szCs w:val="22"/>
          <w:vertAlign w:val="superscript"/>
          <w:lang w:val="el-GR"/>
        </w:rPr>
        <w:t>8</w:t>
      </w:r>
      <w:r w:rsidRPr="00203B10">
        <w:rPr>
          <w:rFonts w:ascii="Arial" w:hAnsi="Arial" w:cs="Arial"/>
          <w:sz w:val="22"/>
          <w:szCs w:val="22"/>
          <w:lang w:val="el-GR"/>
        </w:rPr>
        <w:t>, Σταύρος Χατζόπουλος</w:t>
      </w:r>
      <w:r w:rsidR="00F457BC">
        <w:rPr>
          <w:rFonts w:ascii="Arial" w:hAnsi="Arial" w:cs="Arial"/>
          <w:sz w:val="22"/>
          <w:szCs w:val="22"/>
          <w:vertAlign w:val="superscript"/>
          <w:lang w:val="el-GR"/>
        </w:rPr>
        <w:t>9</w:t>
      </w:r>
      <w:r w:rsidRPr="00203B10">
        <w:rPr>
          <w:rFonts w:ascii="Arial" w:hAnsi="Arial" w:cs="Arial"/>
          <w:sz w:val="22"/>
          <w:szCs w:val="22"/>
          <w:lang w:val="el-GR"/>
        </w:rPr>
        <w:t>, Γεώργιος Μπούτσικος</w:t>
      </w:r>
      <w:r w:rsidR="00903378" w:rsidRPr="00887C1D">
        <w:rPr>
          <w:rFonts w:ascii="Arial" w:hAnsi="Arial" w:cs="Arial"/>
          <w:sz w:val="22"/>
          <w:szCs w:val="22"/>
          <w:vertAlign w:val="superscript"/>
          <w:lang w:val="el-GR"/>
        </w:rPr>
        <w:t>10</w:t>
      </w:r>
      <w:r w:rsidRPr="00203B10">
        <w:rPr>
          <w:rFonts w:ascii="Arial" w:hAnsi="Arial" w:cs="Arial"/>
          <w:sz w:val="22"/>
          <w:szCs w:val="22"/>
          <w:lang w:val="el-GR"/>
        </w:rPr>
        <w:t>, Ιωάννης Φλέσσας</w:t>
      </w:r>
      <w:r w:rsidRPr="00203B10">
        <w:rPr>
          <w:rFonts w:ascii="Arial" w:hAnsi="Arial" w:cs="Arial"/>
          <w:sz w:val="22"/>
          <w:szCs w:val="22"/>
          <w:vertAlign w:val="superscript"/>
          <w:lang w:val="el-GR"/>
        </w:rPr>
        <w:t>1</w:t>
      </w:r>
      <w:r w:rsidR="00CF5DC6">
        <w:rPr>
          <w:rFonts w:ascii="Arial" w:hAnsi="Arial" w:cs="Arial"/>
          <w:sz w:val="22"/>
          <w:szCs w:val="22"/>
          <w:vertAlign w:val="superscript"/>
          <w:lang w:val="el-GR"/>
        </w:rPr>
        <w:t>1</w:t>
      </w:r>
      <w:r w:rsidRPr="00203B10">
        <w:rPr>
          <w:rFonts w:ascii="Arial" w:hAnsi="Arial" w:cs="Arial"/>
          <w:sz w:val="22"/>
          <w:szCs w:val="22"/>
          <w:lang w:val="el-GR"/>
        </w:rPr>
        <w:t>, Πρόδρομος Καναβίδης</w:t>
      </w:r>
      <w:r w:rsidR="00EB42CA" w:rsidRPr="00EB42CA">
        <w:rPr>
          <w:rFonts w:ascii="Arial" w:hAnsi="Arial" w:cs="Arial"/>
          <w:sz w:val="22"/>
          <w:szCs w:val="22"/>
          <w:vertAlign w:val="superscript"/>
          <w:lang w:val="el-GR"/>
        </w:rPr>
        <w:t>12</w:t>
      </w:r>
      <w:r w:rsidRPr="00203B10">
        <w:rPr>
          <w:rFonts w:ascii="Arial" w:hAnsi="Arial" w:cs="Arial"/>
          <w:sz w:val="22"/>
          <w:szCs w:val="22"/>
          <w:lang w:val="el-GR"/>
        </w:rPr>
        <w:t xml:space="preserve">, </w:t>
      </w:r>
      <w:proofErr w:type="spellStart"/>
      <w:r w:rsidRPr="00203B10">
        <w:rPr>
          <w:rFonts w:ascii="Arial" w:hAnsi="Arial" w:cs="Arial"/>
          <w:sz w:val="22"/>
          <w:szCs w:val="22"/>
          <w:lang w:val="el-GR"/>
        </w:rPr>
        <w:t>Τζωρτζίνα</w:t>
      </w:r>
      <w:proofErr w:type="spellEnd"/>
      <w:r w:rsidRPr="00203B10">
        <w:rPr>
          <w:rFonts w:ascii="Arial" w:hAnsi="Arial" w:cs="Arial"/>
          <w:sz w:val="22"/>
          <w:szCs w:val="22"/>
          <w:lang w:val="el-GR"/>
        </w:rPr>
        <w:t xml:space="preserve"> Ζάχου</w:t>
      </w:r>
      <w:r w:rsidRPr="00203B10">
        <w:rPr>
          <w:rFonts w:ascii="Arial" w:hAnsi="Arial" w:cs="Arial"/>
          <w:sz w:val="22"/>
          <w:szCs w:val="22"/>
          <w:vertAlign w:val="superscript"/>
          <w:lang w:val="el-GR"/>
        </w:rPr>
        <w:t>1</w:t>
      </w:r>
      <w:r w:rsidR="00EB42CA">
        <w:rPr>
          <w:rFonts w:ascii="Arial" w:hAnsi="Arial" w:cs="Arial"/>
          <w:sz w:val="22"/>
          <w:szCs w:val="22"/>
          <w:vertAlign w:val="superscript"/>
          <w:lang w:val="el-GR"/>
        </w:rPr>
        <w:t>3</w:t>
      </w:r>
      <w:r w:rsidRPr="00203B10">
        <w:rPr>
          <w:rFonts w:ascii="Arial" w:hAnsi="Arial" w:cs="Arial"/>
          <w:sz w:val="22"/>
          <w:szCs w:val="22"/>
          <w:lang w:val="el-GR"/>
        </w:rPr>
        <w:t>, Γρηγόρης Ξεπαπαδάκης</w:t>
      </w:r>
      <w:r w:rsidR="00CE51AB" w:rsidRPr="00CE51AB">
        <w:rPr>
          <w:rFonts w:ascii="Arial" w:hAnsi="Arial" w:cs="Arial"/>
          <w:sz w:val="22"/>
          <w:szCs w:val="22"/>
          <w:vertAlign w:val="superscript"/>
          <w:lang w:val="el-GR"/>
        </w:rPr>
        <w:t>14</w:t>
      </w:r>
    </w:p>
    <w:p w14:paraId="2C79B228" w14:textId="7C9D6D16" w:rsidR="0067124F" w:rsidRPr="00AB4AC2" w:rsidRDefault="00AB4AC2" w:rsidP="00AB4AC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AB4AC2">
        <w:rPr>
          <w:rFonts w:ascii="Arial" w:hAnsi="Arial" w:cs="Arial"/>
          <w:sz w:val="22"/>
          <w:szCs w:val="22"/>
          <w:lang w:val="el-GR"/>
        </w:rPr>
        <w:t>Καθηγητής Χειρουργικής &amp; Χειρουργικής Μαστού, ΕΚΠΑ</w:t>
      </w:r>
    </w:p>
    <w:p w14:paraId="018B4E45" w14:textId="77777777" w:rsidR="00F77692" w:rsidRDefault="005438EC" w:rsidP="00F776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Εντεταλμένος Διδάσκων Πανεπιστημίου Θεσσαλίας</w:t>
      </w:r>
    </w:p>
    <w:p w14:paraId="2BD24BB8" w14:textId="77777777" w:rsidR="00291885" w:rsidRDefault="00DC34AB" w:rsidP="0029188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F77692">
        <w:rPr>
          <w:rFonts w:ascii="Arial" w:hAnsi="Arial" w:cs="Arial"/>
          <w:sz w:val="22"/>
          <w:szCs w:val="22"/>
          <w:lang w:val="el-GR"/>
        </w:rPr>
        <w:t>Συντονιστής Διευθυντής Χ</w:t>
      </w:r>
      <w:r w:rsidR="0067124F" w:rsidRPr="00F77692">
        <w:rPr>
          <w:rFonts w:ascii="Arial" w:hAnsi="Arial" w:cs="Arial"/>
          <w:sz w:val="22"/>
          <w:szCs w:val="22"/>
          <w:lang w:val="el-GR"/>
        </w:rPr>
        <w:t>ειρουργι</w:t>
      </w:r>
      <w:r w:rsidRPr="00F77692">
        <w:rPr>
          <w:rFonts w:ascii="Arial" w:hAnsi="Arial" w:cs="Arial"/>
          <w:sz w:val="22"/>
          <w:szCs w:val="22"/>
          <w:lang w:val="el-GR"/>
        </w:rPr>
        <w:t>κής,</w:t>
      </w:r>
      <w:r w:rsidR="0067124F" w:rsidRPr="00F77692">
        <w:rPr>
          <w:rFonts w:ascii="Arial" w:hAnsi="Arial" w:cs="Arial"/>
          <w:sz w:val="22"/>
          <w:szCs w:val="22"/>
          <w:lang w:val="el-GR"/>
        </w:rPr>
        <w:t xml:space="preserve"> Γ.Ν.Μ. «Έλενα Βενιζέλου»</w:t>
      </w:r>
    </w:p>
    <w:p w14:paraId="5C32BD19" w14:textId="77777777" w:rsidR="005D0B35" w:rsidRDefault="005628B8" w:rsidP="005D0B3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Διευθύντρια Τμήματος Μαστού, </w:t>
      </w:r>
      <w:r w:rsidR="0067124F" w:rsidRPr="00291885">
        <w:rPr>
          <w:rFonts w:ascii="Arial" w:hAnsi="Arial" w:cs="Arial"/>
          <w:sz w:val="22"/>
          <w:szCs w:val="22"/>
          <w:lang w:val="el-GR"/>
        </w:rPr>
        <w:t>Γ.Ν. Τρικάλων</w:t>
      </w:r>
    </w:p>
    <w:p w14:paraId="3BB1263D" w14:textId="09B171C9" w:rsidR="0067124F" w:rsidRDefault="005D0B35" w:rsidP="005D0B3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Επιστημονικά Υπεύθυνη</w:t>
      </w:r>
      <w:r w:rsidR="00FC3E92">
        <w:rPr>
          <w:rFonts w:ascii="Arial" w:hAnsi="Arial" w:cs="Arial"/>
          <w:sz w:val="22"/>
          <w:szCs w:val="22"/>
          <w:lang w:val="el-GR"/>
        </w:rPr>
        <w:t xml:space="preserve"> </w:t>
      </w:r>
      <w:r w:rsidR="0067124F" w:rsidRPr="005D0B35">
        <w:rPr>
          <w:rFonts w:ascii="Arial" w:hAnsi="Arial" w:cs="Arial"/>
          <w:sz w:val="22"/>
          <w:szCs w:val="22"/>
          <w:lang w:val="el-GR"/>
        </w:rPr>
        <w:t>Β’ Κλινική</w:t>
      </w:r>
      <w:r w:rsidR="00FC3E92">
        <w:rPr>
          <w:rFonts w:ascii="Arial" w:hAnsi="Arial" w:cs="Arial"/>
          <w:sz w:val="22"/>
          <w:szCs w:val="22"/>
          <w:lang w:val="el-GR"/>
        </w:rPr>
        <w:t>ς</w:t>
      </w:r>
      <w:r w:rsidR="0067124F" w:rsidRPr="005D0B35">
        <w:rPr>
          <w:rFonts w:ascii="Arial" w:hAnsi="Arial" w:cs="Arial"/>
          <w:sz w:val="22"/>
          <w:szCs w:val="22"/>
          <w:lang w:val="el-GR"/>
        </w:rPr>
        <w:t xml:space="preserve"> Μαστού, ΙΑΣΩ Μαιευτική-Γυναικολογική Κλινική</w:t>
      </w:r>
    </w:p>
    <w:p w14:paraId="75578E88" w14:textId="77777777" w:rsidR="004B47DF" w:rsidRDefault="00FC3E92" w:rsidP="004B47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Επιμελητής Β’, </w:t>
      </w:r>
      <w:r w:rsidRPr="005D0B35">
        <w:rPr>
          <w:rFonts w:ascii="Arial" w:hAnsi="Arial" w:cs="Arial"/>
          <w:sz w:val="22"/>
          <w:szCs w:val="22"/>
          <w:lang w:val="el-GR"/>
        </w:rPr>
        <w:t>Β’ Κλινική Μαστού, ΙΑΣΩ Μαιευτική-Γυναικολογική Κλινική</w:t>
      </w:r>
    </w:p>
    <w:p w14:paraId="7253468A" w14:textId="77777777" w:rsidR="00F457BC" w:rsidRDefault="004B47DF" w:rsidP="00F457B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Διευθυντής </w:t>
      </w:r>
      <w:r w:rsidR="0067124F" w:rsidRPr="004B47DF">
        <w:rPr>
          <w:rFonts w:ascii="Arial" w:hAnsi="Arial" w:cs="Arial"/>
          <w:sz w:val="22"/>
          <w:szCs w:val="22"/>
          <w:vertAlign w:val="superscript"/>
          <w:lang w:val="el-GR"/>
        </w:rPr>
        <w:t xml:space="preserve"> </w:t>
      </w:r>
      <w:r w:rsidR="0067124F" w:rsidRPr="004B47DF">
        <w:rPr>
          <w:rFonts w:ascii="Arial" w:hAnsi="Arial" w:cs="Arial"/>
          <w:sz w:val="22"/>
          <w:szCs w:val="22"/>
          <w:lang w:val="el-GR"/>
        </w:rPr>
        <w:t>Μονάδας Μαστού</w:t>
      </w:r>
      <w:r>
        <w:rPr>
          <w:rFonts w:ascii="Arial" w:hAnsi="Arial" w:cs="Arial"/>
          <w:sz w:val="22"/>
          <w:szCs w:val="22"/>
          <w:lang w:val="el-GR"/>
        </w:rPr>
        <w:t>,</w:t>
      </w:r>
      <w:r w:rsidR="0067124F" w:rsidRPr="004B47DF">
        <w:rPr>
          <w:rFonts w:ascii="Arial" w:hAnsi="Arial" w:cs="Arial"/>
          <w:sz w:val="22"/>
          <w:szCs w:val="22"/>
          <w:lang w:val="el-GR"/>
        </w:rPr>
        <w:t xml:space="preserve"> «</w:t>
      </w:r>
      <w:proofErr w:type="spellStart"/>
      <w:r w:rsidR="0067124F" w:rsidRPr="004B47DF">
        <w:rPr>
          <w:rFonts w:ascii="Arial" w:hAnsi="Arial" w:cs="Arial"/>
          <w:sz w:val="22"/>
          <w:szCs w:val="22"/>
          <w:lang w:val="el-GR"/>
        </w:rPr>
        <w:t>Πρόληψις</w:t>
      </w:r>
      <w:proofErr w:type="spellEnd"/>
      <w:r w:rsidR="0067124F" w:rsidRPr="004B47DF">
        <w:rPr>
          <w:rFonts w:ascii="Arial" w:hAnsi="Arial" w:cs="Arial"/>
          <w:sz w:val="22"/>
          <w:szCs w:val="22"/>
          <w:lang w:val="el-GR"/>
        </w:rPr>
        <w:t>»</w:t>
      </w:r>
    </w:p>
    <w:p w14:paraId="325FEFA4" w14:textId="77777777" w:rsidR="00F457BC" w:rsidRDefault="005628D7" w:rsidP="00F457B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F457BC">
        <w:rPr>
          <w:rFonts w:ascii="Arial" w:hAnsi="Arial" w:cs="Arial"/>
          <w:sz w:val="22"/>
          <w:szCs w:val="22"/>
          <w:lang w:val="el-GR"/>
        </w:rPr>
        <w:t>Γενικός Χειρουργός &amp; Χειρουργός Μαστού</w:t>
      </w:r>
      <w:r w:rsidR="00677797" w:rsidRPr="00F457BC">
        <w:rPr>
          <w:rFonts w:ascii="Arial" w:hAnsi="Arial" w:cs="Arial"/>
          <w:sz w:val="22"/>
          <w:szCs w:val="22"/>
          <w:lang w:val="el-GR"/>
        </w:rPr>
        <w:t>, Ναυτικό Νοσοκομείο Αθηνών</w:t>
      </w:r>
      <w:r w:rsidR="0067124F" w:rsidRPr="00F457BC">
        <w:rPr>
          <w:rFonts w:ascii="Arial" w:hAnsi="Arial" w:cs="Arial"/>
          <w:sz w:val="22"/>
          <w:szCs w:val="22"/>
          <w:lang w:val="el-GR"/>
        </w:rPr>
        <w:t xml:space="preserve"> &amp;</w:t>
      </w:r>
      <w:r w:rsidR="0067124F" w:rsidRPr="00F457BC">
        <w:rPr>
          <w:rFonts w:ascii="Arial" w:hAnsi="Arial" w:cs="Arial"/>
          <w:sz w:val="22"/>
          <w:szCs w:val="22"/>
        </w:rPr>
        <w:t> </w:t>
      </w:r>
      <w:r w:rsidR="0067124F" w:rsidRPr="00F457BC">
        <w:rPr>
          <w:rFonts w:ascii="Arial" w:hAnsi="Arial" w:cs="Arial"/>
          <w:sz w:val="22"/>
          <w:szCs w:val="22"/>
          <w:lang w:val="el-GR"/>
        </w:rPr>
        <w:t xml:space="preserve">Κλινική Μαστού, </w:t>
      </w:r>
      <w:r w:rsidR="0067124F" w:rsidRPr="00F457BC">
        <w:rPr>
          <w:rFonts w:ascii="Arial" w:hAnsi="Arial" w:cs="Arial"/>
          <w:sz w:val="22"/>
          <w:szCs w:val="22"/>
        </w:rPr>
        <w:t>Mediterraneo</w:t>
      </w:r>
      <w:r w:rsidR="0067124F" w:rsidRPr="00F457BC">
        <w:rPr>
          <w:rFonts w:ascii="Arial" w:hAnsi="Arial" w:cs="Arial"/>
          <w:sz w:val="22"/>
          <w:szCs w:val="22"/>
          <w:lang w:val="el-GR"/>
        </w:rPr>
        <w:t xml:space="preserve"> </w:t>
      </w:r>
      <w:r w:rsidR="0067124F" w:rsidRPr="00F457BC">
        <w:rPr>
          <w:rFonts w:ascii="Arial" w:hAnsi="Arial" w:cs="Arial"/>
          <w:sz w:val="22"/>
          <w:szCs w:val="22"/>
        </w:rPr>
        <w:t>Hospital</w:t>
      </w:r>
    </w:p>
    <w:p w14:paraId="4E5F533C" w14:textId="77777777" w:rsidR="00887C1D" w:rsidRDefault="00903378" w:rsidP="00887C1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887C1D">
        <w:rPr>
          <w:rFonts w:ascii="Arial" w:hAnsi="Arial" w:cs="Arial"/>
          <w:sz w:val="22"/>
          <w:szCs w:val="22"/>
          <w:lang w:val="el-GR"/>
        </w:rPr>
        <w:t xml:space="preserve">Χειρουργός Μαστού, </w:t>
      </w:r>
      <w:r w:rsidR="0067124F" w:rsidRPr="00887C1D">
        <w:rPr>
          <w:rFonts w:ascii="Arial" w:hAnsi="Arial" w:cs="Arial"/>
          <w:sz w:val="22"/>
          <w:szCs w:val="22"/>
          <w:lang w:val="el-GR"/>
        </w:rPr>
        <w:t xml:space="preserve">Ιατρείο Μαστού, </w:t>
      </w:r>
      <w:proofErr w:type="spellStart"/>
      <w:r w:rsidR="0067124F" w:rsidRPr="00887C1D">
        <w:rPr>
          <w:rFonts w:ascii="Arial" w:hAnsi="Arial" w:cs="Arial"/>
          <w:sz w:val="22"/>
          <w:szCs w:val="22"/>
          <w:lang w:val="el-GR"/>
        </w:rPr>
        <w:t>Βιοκλινική</w:t>
      </w:r>
      <w:proofErr w:type="spellEnd"/>
      <w:r w:rsidR="0067124F" w:rsidRPr="00887C1D">
        <w:rPr>
          <w:rFonts w:ascii="Arial" w:hAnsi="Arial" w:cs="Arial"/>
          <w:sz w:val="22"/>
          <w:szCs w:val="22"/>
          <w:lang w:val="el-GR"/>
        </w:rPr>
        <w:t xml:space="preserve"> Θεσσαλονίκης</w:t>
      </w:r>
    </w:p>
    <w:p w14:paraId="2B0C771D" w14:textId="77777777" w:rsidR="00CF5DC6" w:rsidRDefault="00903378" w:rsidP="00CF5D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887C1D">
        <w:rPr>
          <w:rFonts w:ascii="Arial" w:hAnsi="Arial" w:cs="Arial"/>
          <w:sz w:val="22"/>
          <w:szCs w:val="22"/>
          <w:lang w:val="el-GR"/>
        </w:rPr>
        <w:t xml:space="preserve">Διευθυντής </w:t>
      </w:r>
      <w:r w:rsidR="0067124F" w:rsidRPr="00887C1D">
        <w:rPr>
          <w:rFonts w:ascii="Arial" w:hAnsi="Arial" w:cs="Arial"/>
          <w:sz w:val="22"/>
          <w:szCs w:val="22"/>
          <w:lang w:val="el-GR"/>
        </w:rPr>
        <w:t>Τμήμα</w:t>
      </w:r>
      <w:r w:rsidRPr="00887C1D">
        <w:rPr>
          <w:rFonts w:ascii="Arial" w:hAnsi="Arial" w:cs="Arial"/>
          <w:sz w:val="22"/>
          <w:szCs w:val="22"/>
          <w:lang w:val="el-GR"/>
        </w:rPr>
        <w:t>τος</w:t>
      </w:r>
      <w:r w:rsidR="0067124F" w:rsidRPr="00887C1D">
        <w:rPr>
          <w:rFonts w:ascii="Arial" w:hAnsi="Arial" w:cs="Arial"/>
          <w:sz w:val="22"/>
          <w:szCs w:val="22"/>
          <w:lang w:val="el-GR"/>
        </w:rPr>
        <w:t xml:space="preserve"> Χειρουργικής Μαστού, ΙΑΣΩ Θεσσαλίας</w:t>
      </w:r>
    </w:p>
    <w:p w14:paraId="54ECF320" w14:textId="1573A3BC" w:rsidR="0067124F" w:rsidRDefault="0067124F" w:rsidP="00CF5D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CF5DC6">
        <w:rPr>
          <w:rFonts w:ascii="Arial" w:hAnsi="Arial" w:cs="Arial"/>
          <w:sz w:val="22"/>
          <w:szCs w:val="22"/>
          <w:vertAlign w:val="superscript"/>
          <w:lang w:val="el-GR"/>
        </w:rPr>
        <w:t xml:space="preserve"> </w:t>
      </w:r>
      <w:r w:rsidR="00EB42CA" w:rsidRPr="00EB42CA">
        <w:rPr>
          <w:rFonts w:ascii="Arial" w:hAnsi="Arial" w:cs="Arial"/>
          <w:sz w:val="22"/>
          <w:szCs w:val="22"/>
          <w:lang w:val="el-GR"/>
        </w:rPr>
        <w:t>Διευθυντής</w:t>
      </w:r>
      <w:r w:rsidR="00EB42CA">
        <w:rPr>
          <w:rFonts w:ascii="Arial" w:hAnsi="Arial" w:cs="Arial"/>
          <w:sz w:val="22"/>
          <w:szCs w:val="22"/>
          <w:lang w:val="el-GR"/>
        </w:rPr>
        <w:t xml:space="preserve"> </w:t>
      </w:r>
      <w:r w:rsidRPr="00CF5DC6">
        <w:rPr>
          <w:rFonts w:ascii="Arial" w:hAnsi="Arial" w:cs="Arial"/>
          <w:sz w:val="22"/>
          <w:szCs w:val="22"/>
          <w:lang w:val="el-GR"/>
        </w:rPr>
        <w:t>Γ’ Χειρουργική</w:t>
      </w:r>
      <w:r w:rsidR="00EB42CA">
        <w:rPr>
          <w:rFonts w:ascii="Arial" w:hAnsi="Arial" w:cs="Arial"/>
          <w:sz w:val="22"/>
          <w:szCs w:val="22"/>
          <w:lang w:val="el-GR"/>
        </w:rPr>
        <w:t>ς</w:t>
      </w:r>
      <w:r w:rsidRPr="00CF5DC6">
        <w:rPr>
          <w:rFonts w:ascii="Arial" w:hAnsi="Arial" w:cs="Arial"/>
          <w:sz w:val="22"/>
          <w:szCs w:val="22"/>
          <w:lang w:val="el-GR"/>
        </w:rPr>
        <w:t xml:space="preserve"> Κλινική</w:t>
      </w:r>
      <w:r w:rsidR="00EB42CA">
        <w:rPr>
          <w:rFonts w:ascii="Arial" w:hAnsi="Arial" w:cs="Arial"/>
          <w:sz w:val="22"/>
          <w:szCs w:val="22"/>
          <w:lang w:val="el-GR"/>
        </w:rPr>
        <w:t>ς</w:t>
      </w:r>
      <w:r w:rsidRPr="00CF5DC6">
        <w:rPr>
          <w:rFonts w:ascii="Arial" w:hAnsi="Arial" w:cs="Arial"/>
          <w:sz w:val="22"/>
          <w:szCs w:val="22"/>
          <w:lang w:val="el-GR"/>
        </w:rPr>
        <w:t xml:space="preserve"> Μαστού, Ερρίκος Ντυνάν </w:t>
      </w:r>
      <w:proofErr w:type="spellStart"/>
      <w:r w:rsidRPr="00CF5DC6">
        <w:rPr>
          <w:rFonts w:ascii="Arial" w:hAnsi="Arial" w:cs="Arial"/>
          <w:sz w:val="22"/>
          <w:szCs w:val="22"/>
          <w:lang w:val="el-GR"/>
        </w:rPr>
        <w:t>Hospital</w:t>
      </w:r>
      <w:proofErr w:type="spellEnd"/>
      <w:r w:rsidRPr="00CF5DC6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CF5DC6">
        <w:rPr>
          <w:rFonts w:ascii="Arial" w:hAnsi="Arial" w:cs="Arial"/>
          <w:sz w:val="22"/>
          <w:szCs w:val="22"/>
          <w:lang w:val="el-GR"/>
        </w:rPr>
        <w:t>Center</w:t>
      </w:r>
      <w:proofErr w:type="spellEnd"/>
    </w:p>
    <w:p w14:paraId="7E6E7454" w14:textId="58A42219" w:rsidR="00451446" w:rsidRDefault="00131D4B" w:rsidP="00CF5D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Διδακτορικός Φοιτητής, Α’ Χειρουργική Κλινική ΕΚΠΑ</w:t>
      </w:r>
    </w:p>
    <w:p w14:paraId="31FAAB88" w14:textId="77777777" w:rsidR="000F0F3A" w:rsidRDefault="00CE7AC6" w:rsidP="00F94CA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0F0F3A">
        <w:rPr>
          <w:rFonts w:ascii="Arial" w:hAnsi="Arial" w:cs="Arial"/>
          <w:sz w:val="22"/>
          <w:szCs w:val="22"/>
          <w:lang w:val="el-GR"/>
        </w:rPr>
        <w:t xml:space="preserve">Μεταπτυχιακή </w:t>
      </w:r>
      <w:r w:rsidR="000F0F3A" w:rsidRPr="000F0F3A">
        <w:rPr>
          <w:rFonts w:ascii="Arial" w:hAnsi="Arial" w:cs="Arial"/>
          <w:sz w:val="22"/>
          <w:szCs w:val="22"/>
          <w:lang w:val="el-GR"/>
        </w:rPr>
        <w:t>Φοιτήτρια Ιατρικής Σχολής ΕΚΠΑ</w:t>
      </w:r>
    </w:p>
    <w:p w14:paraId="4AE3041A" w14:textId="05B2A899" w:rsidR="00F94CA8" w:rsidRPr="000F0F3A" w:rsidRDefault="00F94CA8" w:rsidP="00F94CA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0F0F3A">
        <w:rPr>
          <w:rFonts w:ascii="Arial" w:hAnsi="Arial" w:cs="Arial"/>
          <w:sz w:val="22"/>
          <w:szCs w:val="22"/>
          <w:lang w:val="el-GR"/>
        </w:rPr>
        <w:t>Διευθυντής Β’ Κλινικής Μαστού, ΙΑΣΩ Μαιευτική-Γυναικολογική Κλινική</w:t>
      </w:r>
    </w:p>
    <w:p w14:paraId="3F68B5B4" w14:textId="0BD5E099" w:rsidR="00B4750C" w:rsidRPr="00203B10" w:rsidRDefault="00B4750C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2F0F94AE" w14:textId="77777777" w:rsidR="00B4750C" w:rsidRPr="00203B10" w:rsidRDefault="00B4750C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  <w:r w:rsidRPr="00203B10">
        <w:rPr>
          <w:rFonts w:ascii="Arial" w:hAnsi="Arial" w:cs="Arial"/>
          <w:b/>
          <w:bCs/>
          <w:sz w:val="22"/>
          <w:szCs w:val="22"/>
          <w:lang w:val="el-GR"/>
        </w:rPr>
        <w:t>ΕΙΣΑΓΩΓΗ</w:t>
      </w:r>
    </w:p>
    <w:p w14:paraId="03C7AC55" w14:textId="77777777" w:rsidR="00B4750C" w:rsidRPr="00203B10" w:rsidRDefault="00B4750C" w:rsidP="0044457B">
      <w:pPr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t xml:space="preserve">Οι γονιδιακές υπογραφές αποτελούν αναπόσπαστο κομμάτι της κλινικής πρακτικής παρέχοντας αξιόπιστη εκτίμηση του κινδύνου υποτροπής και του πιθανού οφέλους από τη χημειοθεραπεία σε ασθενείς με </w:t>
      </w:r>
      <w:proofErr w:type="spellStart"/>
      <w:r w:rsidRPr="00203B10">
        <w:rPr>
          <w:rFonts w:ascii="Arial" w:hAnsi="Arial" w:cs="Arial"/>
          <w:sz w:val="22"/>
          <w:szCs w:val="22"/>
          <w:lang w:val="el-GR"/>
        </w:rPr>
        <w:t>luminal</w:t>
      </w:r>
      <w:proofErr w:type="spellEnd"/>
      <w:r w:rsidRPr="00203B10">
        <w:rPr>
          <w:rFonts w:ascii="Arial" w:hAnsi="Arial" w:cs="Arial"/>
          <w:sz w:val="22"/>
          <w:szCs w:val="22"/>
          <w:lang w:val="el-GR"/>
        </w:rPr>
        <w:t xml:space="preserve"> και T1-3/Ν0-1 καρκίνο μαστού. Ωστόσο, σε αρκετές περιπτώσεις οι ιατροί αποφασίζουν να μην κάνουν χρήση της γονιδιακής υπογραφής, αλλά στηρίζουν την απόφασή για χορήγηση χημειοθεραπείας σε άλλα κλινικά ή ιστολογικά δεδομένα.</w:t>
      </w:r>
    </w:p>
    <w:p w14:paraId="71B419F7" w14:textId="1955047C" w:rsidR="00B4750C" w:rsidRPr="00203B10" w:rsidRDefault="00B4750C" w:rsidP="0044457B">
      <w:pPr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t>Σκοπός της παρούσας εργασίας είναι η καταγραφή του ποσοστού των ασθενών και οι λόγοι που δεν υποβάλλονται στην εξέταση αυτή. Για το λόγο αυτό χρησιμοποιήθηκαν ασθενείς από το μητρώο καταγραφής PRELUDE.</w:t>
      </w:r>
    </w:p>
    <w:p w14:paraId="25551C15" w14:textId="77777777" w:rsidR="00B4750C" w:rsidRPr="00203B10" w:rsidRDefault="00B4750C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  <w:r w:rsidRPr="00203B10">
        <w:rPr>
          <w:rFonts w:ascii="Arial" w:hAnsi="Arial" w:cs="Arial"/>
          <w:b/>
          <w:bCs/>
          <w:sz w:val="22"/>
          <w:szCs w:val="22"/>
          <w:lang w:val="el-GR"/>
        </w:rPr>
        <w:t>ΜΕΘΟΔΟΙ</w:t>
      </w:r>
    </w:p>
    <w:p w14:paraId="4D231524" w14:textId="77777777" w:rsidR="00B4750C" w:rsidRPr="00203B10" w:rsidRDefault="00B4750C" w:rsidP="0044457B">
      <w:pPr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t xml:space="preserve">Από μια </w:t>
      </w:r>
      <w:proofErr w:type="spellStart"/>
      <w:r w:rsidRPr="00203B10">
        <w:rPr>
          <w:rFonts w:ascii="Arial" w:hAnsi="Arial" w:cs="Arial"/>
          <w:sz w:val="22"/>
          <w:szCs w:val="22"/>
          <w:lang w:val="el-GR"/>
        </w:rPr>
        <w:t>κοόρτη</w:t>
      </w:r>
      <w:proofErr w:type="spellEnd"/>
      <w:r w:rsidRPr="00203B10">
        <w:rPr>
          <w:rFonts w:ascii="Arial" w:hAnsi="Arial" w:cs="Arial"/>
          <w:sz w:val="22"/>
          <w:szCs w:val="22"/>
          <w:lang w:val="el-GR"/>
        </w:rPr>
        <w:t xml:space="preserve"> 160 ασθενών με </w:t>
      </w:r>
      <w:proofErr w:type="spellStart"/>
      <w:r w:rsidRPr="00203B10">
        <w:rPr>
          <w:rFonts w:ascii="Arial" w:hAnsi="Arial" w:cs="Arial"/>
          <w:sz w:val="22"/>
          <w:szCs w:val="22"/>
          <w:lang w:val="el-GR"/>
        </w:rPr>
        <w:t>luminal</w:t>
      </w:r>
      <w:proofErr w:type="spellEnd"/>
      <w:r w:rsidRPr="00203B10">
        <w:rPr>
          <w:rFonts w:ascii="Arial" w:hAnsi="Arial" w:cs="Arial"/>
          <w:sz w:val="22"/>
          <w:szCs w:val="22"/>
          <w:lang w:val="el-GR"/>
        </w:rPr>
        <w:t xml:space="preserve"> καρκίνο μαστού σταδίου Τ1–Τ3 και 0–3 θετικούς λεμφαδένες, συλλέχθηκαν δημογραφικά και </w:t>
      </w:r>
      <w:proofErr w:type="spellStart"/>
      <w:r w:rsidRPr="00203B10">
        <w:rPr>
          <w:rFonts w:ascii="Arial" w:hAnsi="Arial" w:cs="Arial"/>
          <w:sz w:val="22"/>
          <w:szCs w:val="22"/>
          <w:lang w:val="el-GR"/>
        </w:rPr>
        <w:t>ιστοπαθολογικά</w:t>
      </w:r>
      <w:proofErr w:type="spellEnd"/>
      <w:r w:rsidRPr="00203B10">
        <w:rPr>
          <w:rFonts w:ascii="Arial" w:hAnsi="Arial" w:cs="Arial"/>
          <w:sz w:val="22"/>
          <w:szCs w:val="22"/>
          <w:lang w:val="el-GR"/>
        </w:rPr>
        <w:t xml:space="preserve"> δεδομένα, πληροφορίες σχετικά με τη διενέργεια ή μη γονιδιακής υπογραφής, οι λόγοι μη διενέργειάς της, καθώς και αν οι ασθενείς αυτές έλαβαν τελικά χημειοθεραπεία ή όχι.</w:t>
      </w:r>
    </w:p>
    <w:p w14:paraId="55EED2CE" w14:textId="77777777" w:rsidR="00B4750C" w:rsidRPr="00203B10" w:rsidRDefault="00B4750C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  <w:r w:rsidRPr="00203B10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</w:p>
    <w:p w14:paraId="461A02AD" w14:textId="77777777" w:rsidR="00B4750C" w:rsidRPr="00203B10" w:rsidRDefault="00B4750C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  <w:r w:rsidRPr="00203B10">
        <w:rPr>
          <w:rFonts w:ascii="Arial" w:hAnsi="Arial" w:cs="Arial"/>
          <w:b/>
          <w:bCs/>
          <w:sz w:val="22"/>
          <w:szCs w:val="22"/>
          <w:lang w:val="el-GR"/>
        </w:rPr>
        <w:t>ΑΠΟΤΕΛΕΣΜΑΤΑ</w:t>
      </w:r>
    </w:p>
    <w:p w14:paraId="6EE57884" w14:textId="77777777" w:rsidR="00B4750C" w:rsidRPr="00203B10" w:rsidRDefault="00B4750C" w:rsidP="0044457B">
      <w:pPr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t xml:space="preserve">Οι θεράποντες, κατόπιν συζήτησης με τις ασθενείς τους, δεν έστειλαν γονιδιακή υπογραφή σε 27 από τους 160 ασθενείς. Οι κύριοι λόγοι μη διενέργειας της εξέτασης αφορούσαν </w:t>
      </w:r>
      <w:proofErr w:type="spellStart"/>
      <w:r w:rsidRPr="00203B10">
        <w:rPr>
          <w:rFonts w:ascii="Arial" w:hAnsi="Arial" w:cs="Arial"/>
          <w:sz w:val="22"/>
          <w:szCs w:val="22"/>
          <w:lang w:val="el-GR"/>
        </w:rPr>
        <w:t>ιστοπαθολογικά</w:t>
      </w:r>
      <w:proofErr w:type="spellEnd"/>
      <w:r w:rsidRPr="00203B10">
        <w:rPr>
          <w:rFonts w:ascii="Arial" w:hAnsi="Arial" w:cs="Arial"/>
          <w:sz w:val="22"/>
          <w:szCs w:val="22"/>
          <w:lang w:val="el-GR"/>
        </w:rPr>
        <w:t xml:space="preserve"> χαρακτηριστικά του όγκου, την εμμηνοπαυσιακή κατάσταση, τη γενική κατάσταση της ασθενούς, την άρνησή τους να λάβουν χημειοθεραπεία ή, τέλος, οικονομικούς λόγους.</w:t>
      </w:r>
    </w:p>
    <w:p w14:paraId="744D5FB4" w14:textId="77777777" w:rsidR="00B4750C" w:rsidRPr="00203B10" w:rsidRDefault="00B4750C" w:rsidP="0044457B">
      <w:pPr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lastRenderedPageBreak/>
        <w:t>Ειδικότερα, οι λόγοι για τους οποίους ελήφθη η απόφαση να μη χορηγηθεί χημειοθεραπεία χωρίς επιβεβαίωση από γονιδιακή υπογραφή ήταν: T≤20mm ή/και N0 ή/και Ki67≤20% ή/και οικονομικοί ή/και γενική κατάσταση όχι κατάλληλη για χορήγηση χημειοθεραπείας.</w:t>
      </w:r>
    </w:p>
    <w:p w14:paraId="575D710E" w14:textId="77777777" w:rsidR="00B4750C" w:rsidRPr="00203B10" w:rsidRDefault="00B4750C" w:rsidP="0044457B">
      <w:pPr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t xml:space="preserve">Αντίθετα, οι λόγοι για τους οποίους ελήφθη κατευθείαν η απόφαση να χορηγηθεί χημειοθεραπεία χωρίς προηγουμένως να ζητηθεί γονιδιακή υπογραφή ήταν: </w:t>
      </w:r>
      <w:proofErr w:type="spellStart"/>
      <w:r w:rsidRPr="00203B10">
        <w:rPr>
          <w:rFonts w:ascii="Arial" w:hAnsi="Arial" w:cs="Arial"/>
          <w:sz w:val="22"/>
          <w:szCs w:val="22"/>
          <w:lang w:val="el-GR"/>
        </w:rPr>
        <w:t>προεμμηνοπαυσιακή</w:t>
      </w:r>
      <w:proofErr w:type="spellEnd"/>
      <w:r w:rsidRPr="00203B10">
        <w:rPr>
          <w:rFonts w:ascii="Arial" w:hAnsi="Arial" w:cs="Arial"/>
          <w:sz w:val="22"/>
          <w:szCs w:val="22"/>
          <w:lang w:val="el-GR"/>
        </w:rPr>
        <w:t xml:space="preserve"> κατάσταση ή/και T&gt;20mm ή/και N1 ή/και Ki67&gt;20%.</w:t>
      </w:r>
    </w:p>
    <w:p w14:paraId="36C6F8E2" w14:textId="77777777" w:rsidR="00B4750C" w:rsidRPr="00203B10" w:rsidRDefault="00B4750C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  <w:r w:rsidRPr="00203B10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</w:p>
    <w:p w14:paraId="0A46C4EE" w14:textId="77777777" w:rsidR="00B4750C" w:rsidRPr="00203B10" w:rsidRDefault="00B4750C" w:rsidP="0044457B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l-GR"/>
        </w:rPr>
      </w:pPr>
      <w:r w:rsidRPr="00203B10">
        <w:rPr>
          <w:rFonts w:ascii="Arial" w:hAnsi="Arial" w:cs="Arial"/>
          <w:b/>
          <w:bCs/>
          <w:sz w:val="22"/>
          <w:szCs w:val="22"/>
          <w:lang w:val="el-GR"/>
        </w:rPr>
        <w:t>ΣΥΜΠΕΡΑΣΜΑ</w:t>
      </w:r>
    </w:p>
    <w:p w14:paraId="3410C7D4" w14:textId="57FD953B" w:rsidR="00B4750C" w:rsidRPr="00203B10" w:rsidRDefault="00B4750C" w:rsidP="0044457B">
      <w:pPr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03B10">
        <w:rPr>
          <w:rFonts w:ascii="Arial" w:hAnsi="Arial" w:cs="Arial"/>
          <w:sz w:val="22"/>
          <w:szCs w:val="22"/>
          <w:lang w:val="el-GR"/>
        </w:rPr>
        <w:t>Ένας στου έξι ασθενείς που δικαιούνται γονιδιακή υπογραφή δε θα την κάνει. Φαίνεται ότι η κατάσταση της μασχάλης, το μέγεθος του όγκου, το Ki67, η εμμηνοπαυσιακή κατάσταση, καθώς και οι συνδυασμοί αυτών προβάλλονται συχνά ως παράγοντες επαρκείς να κατευθύνουν την κλινική απόφασή χωρίς τη χρήση γονιδιακής υπογραφής. Η αύξηση του αριθμού των ασθενών της μελέτης θα επιτρέψει και την ποσοτική εκτίμηση της βαρύτητας του κάθε παράγοντα στη λήψη της απόφασης.</w:t>
      </w:r>
    </w:p>
    <w:p w14:paraId="5656DA7B" w14:textId="77777777" w:rsidR="00D2455C" w:rsidRPr="00EF688B" w:rsidRDefault="00D2455C" w:rsidP="0044457B">
      <w:pPr>
        <w:spacing w:line="240" w:lineRule="auto"/>
        <w:rPr>
          <w:rFonts w:ascii="Arial" w:hAnsi="Arial" w:cs="Arial"/>
          <w:sz w:val="22"/>
          <w:szCs w:val="22"/>
          <w:lang w:val="el-GR"/>
        </w:rPr>
      </w:pPr>
    </w:p>
    <w:sectPr w:rsidR="00D2455C" w:rsidRPr="00EF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3292"/>
    <w:multiLevelType w:val="hybridMultilevel"/>
    <w:tmpl w:val="6810A286"/>
    <w:lvl w:ilvl="0" w:tplc="56B6D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D2B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2E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81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7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26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2F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05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709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141B2"/>
    <w:multiLevelType w:val="hybridMultilevel"/>
    <w:tmpl w:val="922C36F6"/>
    <w:lvl w:ilvl="0" w:tplc="A0880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8B18C0"/>
    <w:multiLevelType w:val="hybridMultilevel"/>
    <w:tmpl w:val="8A3EF6BC"/>
    <w:lvl w:ilvl="0" w:tplc="8D1AC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30044705">
    <w:abstractNumId w:val="0"/>
  </w:num>
  <w:num w:numId="2" w16cid:durableId="759255173">
    <w:abstractNumId w:val="2"/>
  </w:num>
  <w:num w:numId="3" w16cid:durableId="137692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FF"/>
    <w:rsid w:val="000179D1"/>
    <w:rsid w:val="0003163F"/>
    <w:rsid w:val="00037566"/>
    <w:rsid w:val="00076A5A"/>
    <w:rsid w:val="000C4117"/>
    <w:rsid w:val="000D599E"/>
    <w:rsid w:val="000F0F3A"/>
    <w:rsid w:val="000F6AFE"/>
    <w:rsid w:val="00103C21"/>
    <w:rsid w:val="00104C5E"/>
    <w:rsid w:val="00131D4B"/>
    <w:rsid w:val="00132269"/>
    <w:rsid w:val="0013724E"/>
    <w:rsid w:val="00152747"/>
    <w:rsid w:val="00152877"/>
    <w:rsid w:val="00166B34"/>
    <w:rsid w:val="0018007F"/>
    <w:rsid w:val="001F3ED8"/>
    <w:rsid w:val="00203A01"/>
    <w:rsid w:val="00203B10"/>
    <w:rsid w:val="00225702"/>
    <w:rsid w:val="002279BC"/>
    <w:rsid w:val="002438F6"/>
    <w:rsid w:val="00277034"/>
    <w:rsid w:val="00291885"/>
    <w:rsid w:val="00292939"/>
    <w:rsid w:val="00297A63"/>
    <w:rsid w:val="002A13E6"/>
    <w:rsid w:val="002E2EC1"/>
    <w:rsid w:val="002E35B3"/>
    <w:rsid w:val="002F6E77"/>
    <w:rsid w:val="0036726C"/>
    <w:rsid w:val="00391600"/>
    <w:rsid w:val="003A041A"/>
    <w:rsid w:val="003A4DB0"/>
    <w:rsid w:val="003F7C12"/>
    <w:rsid w:val="00405312"/>
    <w:rsid w:val="0044457B"/>
    <w:rsid w:val="00451446"/>
    <w:rsid w:val="004831B6"/>
    <w:rsid w:val="00487075"/>
    <w:rsid w:val="00496D95"/>
    <w:rsid w:val="004B43B3"/>
    <w:rsid w:val="004B47DF"/>
    <w:rsid w:val="004C769F"/>
    <w:rsid w:val="004D7E1E"/>
    <w:rsid w:val="00516A15"/>
    <w:rsid w:val="00524614"/>
    <w:rsid w:val="00527251"/>
    <w:rsid w:val="00527B99"/>
    <w:rsid w:val="00527C36"/>
    <w:rsid w:val="005438EC"/>
    <w:rsid w:val="00544103"/>
    <w:rsid w:val="00547B06"/>
    <w:rsid w:val="005628B8"/>
    <w:rsid w:val="005628D7"/>
    <w:rsid w:val="005C7B01"/>
    <w:rsid w:val="005D0B35"/>
    <w:rsid w:val="005F29BF"/>
    <w:rsid w:val="00623FA1"/>
    <w:rsid w:val="00663562"/>
    <w:rsid w:val="0067124F"/>
    <w:rsid w:val="00677797"/>
    <w:rsid w:val="00713569"/>
    <w:rsid w:val="00740281"/>
    <w:rsid w:val="007716E8"/>
    <w:rsid w:val="00797AB7"/>
    <w:rsid w:val="007A40C5"/>
    <w:rsid w:val="007B31B2"/>
    <w:rsid w:val="00813196"/>
    <w:rsid w:val="00814CA7"/>
    <w:rsid w:val="00831108"/>
    <w:rsid w:val="00836F22"/>
    <w:rsid w:val="00840F1F"/>
    <w:rsid w:val="00887C1D"/>
    <w:rsid w:val="008B3D3C"/>
    <w:rsid w:val="008C3C21"/>
    <w:rsid w:val="008D0422"/>
    <w:rsid w:val="008D3F45"/>
    <w:rsid w:val="008E0101"/>
    <w:rsid w:val="008E2410"/>
    <w:rsid w:val="008F13BE"/>
    <w:rsid w:val="00903378"/>
    <w:rsid w:val="0091002E"/>
    <w:rsid w:val="00911787"/>
    <w:rsid w:val="009263EC"/>
    <w:rsid w:val="009479AF"/>
    <w:rsid w:val="00957522"/>
    <w:rsid w:val="00991856"/>
    <w:rsid w:val="009A7122"/>
    <w:rsid w:val="009D01DB"/>
    <w:rsid w:val="009E0503"/>
    <w:rsid w:val="009E2BE3"/>
    <w:rsid w:val="009F7D23"/>
    <w:rsid w:val="00A0528E"/>
    <w:rsid w:val="00A26342"/>
    <w:rsid w:val="00A53DB0"/>
    <w:rsid w:val="00A640C5"/>
    <w:rsid w:val="00A667FF"/>
    <w:rsid w:val="00A736A0"/>
    <w:rsid w:val="00A76B4B"/>
    <w:rsid w:val="00A81525"/>
    <w:rsid w:val="00A87E58"/>
    <w:rsid w:val="00AB0A9A"/>
    <w:rsid w:val="00AB4AC2"/>
    <w:rsid w:val="00AC4408"/>
    <w:rsid w:val="00AC4FE9"/>
    <w:rsid w:val="00AE0E4C"/>
    <w:rsid w:val="00B03D12"/>
    <w:rsid w:val="00B4750C"/>
    <w:rsid w:val="00B65824"/>
    <w:rsid w:val="00B93B23"/>
    <w:rsid w:val="00BA7EA3"/>
    <w:rsid w:val="00BB29A0"/>
    <w:rsid w:val="00BD6E20"/>
    <w:rsid w:val="00BE6F73"/>
    <w:rsid w:val="00C04107"/>
    <w:rsid w:val="00C50F27"/>
    <w:rsid w:val="00CA1C00"/>
    <w:rsid w:val="00CA2A45"/>
    <w:rsid w:val="00CE14A6"/>
    <w:rsid w:val="00CE1524"/>
    <w:rsid w:val="00CE51AB"/>
    <w:rsid w:val="00CE7AC6"/>
    <w:rsid w:val="00CF27B3"/>
    <w:rsid w:val="00CF5DC6"/>
    <w:rsid w:val="00D2455C"/>
    <w:rsid w:val="00D501C9"/>
    <w:rsid w:val="00D51F5C"/>
    <w:rsid w:val="00D62D30"/>
    <w:rsid w:val="00D86C43"/>
    <w:rsid w:val="00DC34AB"/>
    <w:rsid w:val="00DD0880"/>
    <w:rsid w:val="00DE2D57"/>
    <w:rsid w:val="00DE6D8F"/>
    <w:rsid w:val="00DF7C2C"/>
    <w:rsid w:val="00E230C5"/>
    <w:rsid w:val="00E4505F"/>
    <w:rsid w:val="00E467CB"/>
    <w:rsid w:val="00E5384A"/>
    <w:rsid w:val="00E630CB"/>
    <w:rsid w:val="00E66D60"/>
    <w:rsid w:val="00E735EE"/>
    <w:rsid w:val="00E911DC"/>
    <w:rsid w:val="00E92C42"/>
    <w:rsid w:val="00EA005A"/>
    <w:rsid w:val="00EA6ADB"/>
    <w:rsid w:val="00EB192A"/>
    <w:rsid w:val="00EB3054"/>
    <w:rsid w:val="00EB42CA"/>
    <w:rsid w:val="00EF03DC"/>
    <w:rsid w:val="00EF688B"/>
    <w:rsid w:val="00F13C69"/>
    <w:rsid w:val="00F1542B"/>
    <w:rsid w:val="00F163B7"/>
    <w:rsid w:val="00F23AA2"/>
    <w:rsid w:val="00F30C97"/>
    <w:rsid w:val="00F457BC"/>
    <w:rsid w:val="00F62C3A"/>
    <w:rsid w:val="00F73889"/>
    <w:rsid w:val="00F77692"/>
    <w:rsid w:val="00F94CA8"/>
    <w:rsid w:val="00FA1840"/>
    <w:rsid w:val="00FB015D"/>
    <w:rsid w:val="00FB29FA"/>
    <w:rsid w:val="00FB4EAE"/>
    <w:rsid w:val="00FB6493"/>
    <w:rsid w:val="00FC3E92"/>
    <w:rsid w:val="00FD0A54"/>
    <w:rsid w:val="00F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4750"/>
  <w15:chartTrackingRefBased/>
  <w15:docId w15:val="{6DA8FB92-C164-43A0-B0D1-4F236184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67F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67F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67F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67F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67F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6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67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67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67F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67F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67FF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F15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Zachou</dc:creator>
  <cp:keywords/>
  <dc:description/>
  <cp:lastModifiedBy>Michalis Kontos</cp:lastModifiedBy>
  <cp:revision>2</cp:revision>
  <dcterms:created xsi:type="dcterms:W3CDTF">2025-10-15T06:10:00Z</dcterms:created>
  <dcterms:modified xsi:type="dcterms:W3CDTF">2025-10-15T06:10:00Z</dcterms:modified>
</cp:coreProperties>
</file>