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12A6" w14:textId="77777777" w:rsidR="00892545" w:rsidRPr="00892545" w:rsidRDefault="00892545" w:rsidP="00892545">
      <w:pPr>
        <w:rPr>
          <w:lang w:val="el-GR"/>
        </w:rPr>
      </w:pPr>
      <w:r w:rsidRPr="00892545">
        <w:rPr>
          <w:lang w:val="el-GR"/>
        </w:rPr>
        <w:t>Ο ΡΟΛΟΣ ΤΗΣ ΤΕΧΝΗΤΗΣ ΝΟΗΜΟΣΥΝΗΣ (</w:t>
      </w:r>
      <w:r>
        <w:t>AI</w:t>
      </w:r>
      <w:r w:rsidRPr="00892545">
        <w:rPr>
          <w:lang w:val="el-GR"/>
        </w:rPr>
        <w:t>) ΣΤΗ ΛΗΨΗ ΘΕΡΑΠΕΥΤΙΚΩΝ ΑΠΟΦΑΣΕΩΝ ΣΤΟΝ ΟΡΜΟΝΟΕΥΑΙΣΘΗΤΟ ΚΑΡΚΙΝΟ ΜΑΣΤΟΥ ΜΕ ΛΕΜΦΑΔΕΝΙΚΗ ΣΥΜΜΕΤΟΧΗ</w:t>
      </w:r>
    </w:p>
    <w:p w14:paraId="7DAD251F" w14:textId="77777777" w:rsidR="00892545" w:rsidRPr="00892545" w:rsidRDefault="00892545" w:rsidP="00892545">
      <w:pPr>
        <w:rPr>
          <w:lang w:val="el-GR"/>
        </w:rPr>
      </w:pPr>
    </w:p>
    <w:p w14:paraId="28EA2031" w14:textId="1E65BD1B" w:rsidR="00892545" w:rsidRPr="00892545" w:rsidRDefault="00892545" w:rsidP="00892545">
      <w:pPr>
        <w:rPr>
          <w:lang w:val="el-GR"/>
        </w:rPr>
      </w:pPr>
      <w:r w:rsidRPr="00892545">
        <w:rPr>
          <w:lang w:val="el-GR"/>
        </w:rPr>
        <w:t>Μιχάλης Κοντός</w:t>
      </w:r>
      <w:r w:rsidRPr="00892545">
        <w:rPr>
          <w:vertAlign w:val="superscript"/>
          <w:lang w:val="el-GR"/>
        </w:rPr>
        <w:t>1</w:t>
      </w:r>
      <w:r w:rsidRPr="00892545">
        <w:rPr>
          <w:lang w:val="el-GR"/>
        </w:rPr>
        <w:t>, Απόστολος Ζαβός</w:t>
      </w:r>
      <w:r w:rsidRPr="00892545">
        <w:rPr>
          <w:vertAlign w:val="superscript"/>
          <w:lang w:val="el-GR"/>
        </w:rPr>
        <w:t>2</w:t>
      </w:r>
      <w:r w:rsidRPr="00892545">
        <w:rPr>
          <w:lang w:val="el-GR"/>
        </w:rPr>
        <w:t>, Γεώργιος Μεταξάς</w:t>
      </w:r>
      <w:r w:rsidRPr="00892545">
        <w:rPr>
          <w:vertAlign w:val="superscript"/>
          <w:lang w:val="el-GR"/>
        </w:rPr>
        <w:t>3</w:t>
      </w:r>
      <w:r w:rsidRPr="00892545">
        <w:rPr>
          <w:lang w:val="el-GR"/>
        </w:rPr>
        <w:t>, Μαρία Καναρά</w:t>
      </w:r>
      <w:r w:rsidRPr="00892545">
        <w:rPr>
          <w:vertAlign w:val="superscript"/>
          <w:lang w:val="el-GR"/>
        </w:rPr>
        <w:t>4</w:t>
      </w:r>
      <w:r w:rsidRPr="00892545">
        <w:rPr>
          <w:lang w:val="el-GR"/>
        </w:rPr>
        <w:t>, Άννα Φωκιανού</w:t>
      </w:r>
      <w:r w:rsidRPr="00892545">
        <w:rPr>
          <w:vertAlign w:val="superscript"/>
          <w:lang w:val="el-GR"/>
        </w:rPr>
        <w:t>5</w:t>
      </w:r>
      <w:r w:rsidRPr="00892545">
        <w:rPr>
          <w:lang w:val="el-GR"/>
        </w:rPr>
        <w:t>, Χρήστος Στεφάνου</w:t>
      </w:r>
      <w:r w:rsidRPr="00892545">
        <w:rPr>
          <w:vertAlign w:val="superscript"/>
          <w:lang w:val="el-GR"/>
        </w:rPr>
        <w:t>6</w:t>
      </w:r>
      <w:r w:rsidRPr="00892545">
        <w:rPr>
          <w:lang w:val="el-GR"/>
        </w:rPr>
        <w:t>, Πέτρος Χαραλαμπούδης</w:t>
      </w:r>
      <w:r w:rsidRPr="00892545">
        <w:rPr>
          <w:vertAlign w:val="superscript"/>
          <w:lang w:val="el-GR"/>
        </w:rPr>
        <w:t>7</w:t>
      </w:r>
      <w:r w:rsidRPr="00892545">
        <w:rPr>
          <w:lang w:val="el-GR"/>
        </w:rPr>
        <w:t>, Βασίλειος Καλλές</w:t>
      </w:r>
      <w:r w:rsidRPr="00892545">
        <w:rPr>
          <w:vertAlign w:val="superscript"/>
          <w:lang w:val="el-GR"/>
        </w:rPr>
        <w:t>8</w:t>
      </w:r>
      <w:r w:rsidRPr="00892545">
        <w:rPr>
          <w:lang w:val="el-GR"/>
        </w:rPr>
        <w:t>, Σταύρος Χατζόπουλος</w:t>
      </w:r>
      <w:r w:rsidRPr="00892545">
        <w:rPr>
          <w:vertAlign w:val="superscript"/>
          <w:lang w:val="el-GR"/>
        </w:rPr>
        <w:t>9</w:t>
      </w:r>
      <w:r w:rsidRPr="00892545">
        <w:rPr>
          <w:lang w:val="el-GR"/>
        </w:rPr>
        <w:t>, Γεώργιος Μπούτσικος</w:t>
      </w:r>
      <w:r w:rsidRPr="00892545">
        <w:rPr>
          <w:vertAlign w:val="superscript"/>
          <w:lang w:val="el-GR"/>
        </w:rPr>
        <w:t>10</w:t>
      </w:r>
      <w:r w:rsidRPr="00892545">
        <w:rPr>
          <w:lang w:val="el-GR"/>
        </w:rPr>
        <w:t>, Ιωάννης Φλέσσας</w:t>
      </w:r>
      <w:r w:rsidRPr="00892545">
        <w:rPr>
          <w:vertAlign w:val="superscript"/>
          <w:lang w:val="el-GR"/>
        </w:rPr>
        <w:t>11</w:t>
      </w:r>
      <w:r w:rsidRPr="00892545">
        <w:rPr>
          <w:lang w:val="el-GR"/>
        </w:rPr>
        <w:t>, Πρόδρομος Καναβίδης</w:t>
      </w:r>
      <w:r w:rsidRPr="00892545">
        <w:rPr>
          <w:vertAlign w:val="superscript"/>
          <w:lang w:val="el-GR"/>
        </w:rPr>
        <w:t>12</w:t>
      </w:r>
      <w:r w:rsidRPr="00892545">
        <w:rPr>
          <w:lang w:val="el-GR"/>
        </w:rPr>
        <w:t>, Τζωρτζίνα Ζάχου</w:t>
      </w:r>
      <w:r w:rsidRPr="00892545">
        <w:rPr>
          <w:vertAlign w:val="superscript"/>
          <w:lang w:val="el-GR"/>
        </w:rPr>
        <w:t>13</w:t>
      </w:r>
      <w:r w:rsidRPr="00892545">
        <w:rPr>
          <w:lang w:val="el-GR"/>
        </w:rPr>
        <w:t>, Γρηγόρης Ξεπαπαδάκης</w:t>
      </w:r>
      <w:r w:rsidRPr="00892545">
        <w:rPr>
          <w:vertAlign w:val="superscript"/>
          <w:lang w:val="el-GR"/>
        </w:rPr>
        <w:t>14</w:t>
      </w:r>
    </w:p>
    <w:p w14:paraId="38E1C474" w14:textId="77777777" w:rsidR="00892545" w:rsidRPr="00892545" w:rsidRDefault="00892545" w:rsidP="00892545">
      <w:pPr>
        <w:spacing w:after="0" w:line="240" w:lineRule="auto"/>
        <w:rPr>
          <w:lang w:val="el-GR"/>
        </w:rPr>
      </w:pPr>
      <w:r w:rsidRPr="00892545">
        <w:rPr>
          <w:lang w:val="el-GR"/>
        </w:rPr>
        <w:t>1. Καθηγητής Χειρουργικής &amp; Χειρουργικής Μαστού, ΕΚΠΑ</w:t>
      </w:r>
    </w:p>
    <w:p w14:paraId="483A6903" w14:textId="77777777" w:rsidR="00892545" w:rsidRPr="00892545" w:rsidRDefault="00892545" w:rsidP="00892545">
      <w:pPr>
        <w:spacing w:after="0" w:line="240" w:lineRule="auto"/>
        <w:rPr>
          <w:lang w:val="el-GR"/>
        </w:rPr>
      </w:pPr>
      <w:r w:rsidRPr="00892545">
        <w:rPr>
          <w:lang w:val="el-GR"/>
        </w:rPr>
        <w:t>2. Εντεταλμένος Διδάσκων Πανεπιστημίου Θεσσαλίας</w:t>
      </w:r>
    </w:p>
    <w:p w14:paraId="03DB6DE3" w14:textId="77777777" w:rsidR="00892545" w:rsidRPr="00892545" w:rsidRDefault="00892545" w:rsidP="00892545">
      <w:pPr>
        <w:spacing w:after="0" w:line="240" w:lineRule="auto"/>
        <w:rPr>
          <w:lang w:val="el-GR"/>
        </w:rPr>
      </w:pPr>
      <w:r w:rsidRPr="00892545">
        <w:rPr>
          <w:lang w:val="el-GR"/>
        </w:rPr>
        <w:t>3. Συντονιστής Διευθυντής Χειρουργικής, Γ.Ν.Μ. «Έλενα Βενιζέλου»</w:t>
      </w:r>
    </w:p>
    <w:p w14:paraId="1413501F" w14:textId="77777777" w:rsidR="00892545" w:rsidRPr="00892545" w:rsidRDefault="00892545" w:rsidP="00892545">
      <w:pPr>
        <w:spacing w:after="0" w:line="240" w:lineRule="auto"/>
        <w:rPr>
          <w:lang w:val="el-GR"/>
        </w:rPr>
      </w:pPr>
      <w:r w:rsidRPr="00892545">
        <w:rPr>
          <w:lang w:val="el-GR"/>
        </w:rPr>
        <w:t>4. Διευθύντρια Τμήματος Μαστού, Γ.Ν. Τρικάλων</w:t>
      </w:r>
    </w:p>
    <w:p w14:paraId="43F560A5" w14:textId="77777777" w:rsidR="00892545" w:rsidRPr="00892545" w:rsidRDefault="00892545" w:rsidP="00892545">
      <w:pPr>
        <w:spacing w:after="0" w:line="240" w:lineRule="auto"/>
        <w:rPr>
          <w:lang w:val="el-GR"/>
        </w:rPr>
      </w:pPr>
      <w:r w:rsidRPr="00892545">
        <w:rPr>
          <w:lang w:val="el-GR"/>
        </w:rPr>
        <w:t>5. Επιστημονικά Υπεύθυνη Β’ Κλινικής Μαστού, ΙΑΣΩ Μαιευτική-Γυναικολογική Κλινική</w:t>
      </w:r>
    </w:p>
    <w:p w14:paraId="37897A4D" w14:textId="77777777" w:rsidR="00892545" w:rsidRPr="00892545" w:rsidRDefault="00892545" w:rsidP="00892545">
      <w:pPr>
        <w:spacing w:after="0" w:line="240" w:lineRule="auto"/>
        <w:rPr>
          <w:lang w:val="el-GR"/>
        </w:rPr>
      </w:pPr>
      <w:r w:rsidRPr="00892545">
        <w:rPr>
          <w:lang w:val="el-GR"/>
        </w:rPr>
        <w:t>6. Επιμελητής Β’, Β’ Κλινική Μαστού, ΙΑΣΩ Μαιευτική-Γυναικολογική Κλινική</w:t>
      </w:r>
    </w:p>
    <w:p w14:paraId="3025A614" w14:textId="77777777" w:rsidR="00892545" w:rsidRPr="00892545" w:rsidRDefault="00892545" w:rsidP="00892545">
      <w:pPr>
        <w:spacing w:after="0" w:line="240" w:lineRule="auto"/>
        <w:rPr>
          <w:lang w:val="el-GR"/>
        </w:rPr>
      </w:pPr>
      <w:r w:rsidRPr="00892545">
        <w:rPr>
          <w:lang w:val="el-GR"/>
        </w:rPr>
        <w:t>7. Διευθυντής Μονάδας Μαστού, «Πρόληψις»</w:t>
      </w:r>
    </w:p>
    <w:p w14:paraId="2F611965" w14:textId="77777777" w:rsidR="00892545" w:rsidRPr="00892545" w:rsidRDefault="00892545" w:rsidP="00892545">
      <w:pPr>
        <w:spacing w:after="0" w:line="240" w:lineRule="auto"/>
        <w:rPr>
          <w:lang w:val="el-GR"/>
        </w:rPr>
      </w:pPr>
      <w:r w:rsidRPr="00892545">
        <w:rPr>
          <w:lang w:val="el-GR"/>
        </w:rPr>
        <w:t xml:space="preserve">8. Γενικός Χειρουργός &amp; Χειρουργός Μαστού, Ναυτικό Νοσοκομείο Αθηνών &amp; Κλινική Μαστού, </w:t>
      </w:r>
      <w:r>
        <w:t>Mediterraneo</w:t>
      </w:r>
      <w:r w:rsidRPr="00892545">
        <w:rPr>
          <w:lang w:val="el-GR"/>
        </w:rPr>
        <w:t xml:space="preserve"> </w:t>
      </w:r>
      <w:r>
        <w:t>Hospital</w:t>
      </w:r>
    </w:p>
    <w:p w14:paraId="3B180026" w14:textId="77777777" w:rsidR="00892545" w:rsidRPr="00892545" w:rsidRDefault="00892545" w:rsidP="00892545">
      <w:pPr>
        <w:spacing w:after="0" w:line="240" w:lineRule="auto"/>
        <w:rPr>
          <w:lang w:val="el-GR"/>
        </w:rPr>
      </w:pPr>
      <w:r w:rsidRPr="00892545">
        <w:rPr>
          <w:lang w:val="el-GR"/>
        </w:rPr>
        <w:t>9. Χειρουργός Μαστού, Ιατρείο Μαστού, Βιοκλινική Θεσσαλονίκης</w:t>
      </w:r>
    </w:p>
    <w:p w14:paraId="22CA7E15" w14:textId="77777777" w:rsidR="00892545" w:rsidRPr="00892545" w:rsidRDefault="00892545" w:rsidP="00892545">
      <w:pPr>
        <w:spacing w:after="0" w:line="240" w:lineRule="auto"/>
        <w:rPr>
          <w:lang w:val="el-GR"/>
        </w:rPr>
      </w:pPr>
      <w:r w:rsidRPr="00892545">
        <w:rPr>
          <w:lang w:val="el-GR"/>
        </w:rPr>
        <w:t>10. Διευθυντής Τμήματος Χειρουργικής Μαστού, ΙΑΣΩ Θεσσαλίας</w:t>
      </w:r>
    </w:p>
    <w:p w14:paraId="4D53C205" w14:textId="77777777" w:rsidR="00892545" w:rsidRPr="00892545" w:rsidRDefault="00892545" w:rsidP="00892545">
      <w:pPr>
        <w:spacing w:after="0" w:line="240" w:lineRule="auto"/>
        <w:rPr>
          <w:lang w:val="el-GR"/>
        </w:rPr>
      </w:pPr>
      <w:r w:rsidRPr="00892545">
        <w:rPr>
          <w:lang w:val="el-GR"/>
        </w:rPr>
        <w:t xml:space="preserve">11. Διευθυντής Γ’ Χειρουργικής Κλινικής Μαστού, Ερρίκος Ντυνάν </w:t>
      </w:r>
      <w:r>
        <w:t>Hospital</w:t>
      </w:r>
      <w:r w:rsidRPr="00892545">
        <w:rPr>
          <w:lang w:val="el-GR"/>
        </w:rPr>
        <w:t xml:space="preserve"> </w:t>
      </w:r>
      <w:r>
        <w:t>Center</w:t>
      </w:r>
      <w:r w:rsidRPr="00892545">
        <w:rPr>
          <w:lang w:val="el-GR"/>
        </w:rPr>
        <w:t xml:space="preserve"> </w:t>
      </w:r>
    </w:p>
    <w:p w14:paraId="21472437" w14:textId="77777777" w:rsidR="00892545" w:rsidRPr="00892545" w:rsidRDefault="00892545" w:rsidP="00892545">
      <w:pPr>
        <w:spacing w:after="0" w:line="240" w:lineRule="auto"/>
        <w:rPr>
          <w:lang w:val="el-GR"/>
        </w:rPr>
      </w:pPr>
      <w:r w:rsidRPr="00892545">
        <w:rPr>
          <w:lang w:val="el-GR"/>
        </w:rPr>
        <w:t>12. Διδακτορικός Φοιτητής, Α’ Χειρουργική Κλινική ΕΚΠΑ</w:t>
      </w:r>
    </w:p>
    <w:p w14:paraId="4145291F" w14:textId="77777777" w:rsidR="00892545" w:rsidRPr="00892545" w:rsidRDefault="00892545" w:rsidP="00892545">
      <w:pPr>
        <w:spacing w:after="0" w:line="240" w:lineRule="auto"/>
        <w:rPr>
          <w:lang w:val="el-GR"/>
        </w:rPr>
      </w:pPr>
      <w:r w:rsidRPr="00892545">
        <w:rPr>
          <w:lang w:val="el-GR"/>
        </w:rPr>
        <w:t>13. Μεταπτυχιακή Φοιτήτρια Ιατρικής Σχολής ΕΚΠΑ</w:t>
      </w:r>
    </w:p>
    <w:p w14:paraId="15476D9F" w14:textId="77777777" w:rsidR="00892545" w:rsidRPr="00892545" w:rsidRDefault="00892545" w:rsidP="00892545">
      <w:pPr>
        <w:spacing w:after="0" w:line="240" w:lineRule="auto"/>
        <w:rPr>
          <w:lang w:val="el-GR"/>
        </w:rPr>
      </w:pPr>
      <w:r w:rsidRPr="00892545">
        <w:rPr>
          <w:lang w:val="el-GR"/>
        </w:rPr>
        <w:t>14. Διευθυντής Β’ Κλινικής Μαστού, ΙΑΣΩ Μαιευτική-Γυναικολογική Κλινική</w:t>
      </w:r>
    </w:p>
    <w:p w14:paraId="261DDF67" w14:textId="77777777" w:rsidR="00892545" w:rsidRPr="00892545" w:rsidRDefault="00892545" w:rsidP="00892545">
      <w:pPr>
        <w:rPr>
          <w:lang w:val="el-GR"/>
        </w:rPr>
      </w:pPr>
      <w:r w:rsidRPr="00892545">
        <w:rPr>
          <w:lang w:val="el-GR"/>
        </w:rPr>
        <w:t xml:space="preserve"> </w:t>
      </w:r>
    </w:p>
    <w:p w14:paraId="631049DC" w14:textId="77777777" w:rsidR="00892545" w:rsidRPr="00892545" w:rsidRDefault="00892545" w:rsidP="00892545">
      <w:pPr>
        <w:rPr>
          <w:lang w:val="el-GR"/>
        </w:rPr>
      </w:pPr>
      <w:r w:rsidRPr="00892545">
        <w:rPr>
          <w:lang w:val="el-GR"/>
        </w:rPr>
        <w:t>ΕΙΣΑΓΩΓΗ</w:t>
      </w:r>
    </w:p>
    <w:p w14:paraId="02EE55CA" w14:textId="77777777" w:rsidR="00892545" w:rsidRPr="00892545" w:rsidRDefault="00892545" w:rsidP="005B5526">
      <w:pPr>
        <w:jc w:val="both"/>
        <w:rPr>
          <w:lang w:val="el-GR"/>
        </w:rPr>
      </w:pPr>
      <w:r w:rsidRPr="00892545">
        <w:rPr>
          <w:lang w:val="el-GR"/>
        </w:rPr>
        <w:t>Η διήθηση των μασχαλιαίων λεμφαδένων στον καρκίνο του μαστού αποτελεί έναν από τους πλέον καθοριστικούς παράγοντες για την απόφαση χορήγησης επικουρικής χημειοθεραπείας. Η κατάσταση των λεμφαδένων λαμβάνεται υπόψη τόσο κατά τη λήψη της κλινικής απόφασης για τη χορήγηση  χημειοθεραπείας, όσο και κατά τη διενέργεια και ερμηνεία των γονιδιακών υπογραφών.</w:t>
      </w:r>
    </w:p>
    <w:p w14:paraId="0C5DEA32" w14:textId="77777777" w:rsidR="00892545" w:rsidRPr="00892545" w:rsidRDefault="00892545" w:rsidP="005B5526">
      <w:pPr>
        <w:jc w:val="both"/>
        <w:rPr>
          <w:lang w:val="el-GR"/>
        </w:rPr>
      </w:pPr>
      <w:r w:rsidRPr="00892545">
        <w:rPr>
          <w:lang w:val="el-GR"/>
        </w:rPr>
        <w:t xml:space="preserve">Παράλληλα, η </w:t>
      </w:r>
      <w:r>
        <w:t>AI</w:t>
      </w:r>
      <w:r w:rsidRPr="00892545">
        <w:rPr>
          <w:lang w:val="el-GR"/>
        </w:rPr>
        <w:t xml:space="preserve"> αποτελεί πλέον ένα σύγχρονο εργαλείο που χρησιμοποιείται ευρέως για την ανάλυση πολύπλοκων ιατρικών δεδομένων και τη λήψη τεκμηριωμένων αποφάσεων. Είναι, εξάλλου, άμεσα διαθέσιμη τόσο στους ιατρούς, ως υποστηρικτικό διαγνωστικό και προγνωστικό μέσο, όσο και στους ασθενείς, μέσω διαφόρων ψηφιακών εφαρμογών και πλατφορμών.</w:t>
      </w:r>
    </w:p>
    <w:p w14:paraId="09EE4268" w14:textId="77777777" w:rsidR="00892545" w:rsidRPr="00892545" w:rsidRDefault="00892545" w:rsidP="005B5526">
      <w:pPr>
        <w:jc w:val="both"/>
        <w:rPr>
          <w:lang w:val="el-GR"/>
        </w:rPr>
      </w:pPr>
      <w:r w:rsidRPr="00892545">
        <w:rPr>
          <w:lang w:val="el-GR"/>
        </w:rPr>
        <w:t xml:space="preserve">Σκοπός της παρούσας μελέτης είναι η διερεύνηση της ικανότητας της ΑΙ να προβλέψει με ακρίβεια την αναγκαιότητα χορήγησης επικουρικής χημειοθεραπείας σε ασθενείς με πρώιμο </w:t>
      </w:r>
      <w:r w:rsidRPr="00892545">
        <w:rPr>
          <w:lang w:val="el-GR"/>
        </w:rPr>
        <w:lastRenderedPageBreak/>
        <w:t>καρκίνο του μαστού και λεμφαδενική συμμετοχή,  οι οποίες υποβλήθηκαν σε αντίστοιχο έλεγχο με χρήση  γονιδιακής υπογραφής.</w:t>
      </w:r>
    </w:p>
    <w:p w14:paraId="147649C5" w14:textId="77777777" w:rsidR="00892545" w:rsidRPr="00892545" w:rsidRDefault="00892545" w:rsidP="005B5526">
      <w:pPr>
        <w:jc w:val="both"/>
        <w:rPr>
          <w:lang w:val="el-GR"/>
        </w:rPr>
      </w:pPr>
      <w:r w:rsidRPr="00892545">
        <w:rPr>
          <w:lang w:val="el-GR"/>
        </w:rPr>
        <w:t xml:space="preserve"> </w:t>
      </w:r>
    </w:p>
    <w:p w14:paraId="18F8C56A" w14:textId="77777777" w:rsidR="00892545" w:rsidRPr="00892545" w:rsidRDefault="00892545" w:rsidP="005B5526">
      <w:pPr>
        <w:jc w:val="both"/>
        <w:rPr>
          <w:lang w:val="el-GR"/>
        </w:rPr>
      </w:pPr>
      <w:r w:rsidRPr="00892545">
        <w:rPr>
          <w:lang w:val="el-GR"/>
        </w:rPr>
        <w:t>ΥΛΙΚΑ ΚΑΙ ΜΕΘΟΔΟΙ</w:t>
      </w:r>
    </w:p>
    <w:p w14:paraId="1ABA44F5" w14:textId="77777777" w:rsidR="00892545" w:rsidRPr="00892545" w:rsidRDefault="00892545" w:rsidP="005B5526">
      <w:pPr>
        <w:jc w:val="both"/>
        <w:rPr>
          <w:lang w:val="el-GR"/>
        </w:rPr>
      </w:pPr>
      <w:r w:rsidRPr="00892545">
        <w:rPr>
          <w:lang w:val="el-GR"/>
        </w:rPr>
        <w:t xml:space="preserve">Συλλέχθηκαν δημογραφικά και ιστοπαθολογικά δεδομένα από ασθενείς της μελέτης </w:t>
      </w:r>
      <w:r>
        <w:t>PRELUDE</w:t>
      </w:r>
      <w:r w:rsidRPr="00892545">
        <w:rPr>
          <w:lang w:val="el-GR"/>
        </w:rPr>
        <w:t xml:space="preserve"> με </w:t>
      </w:r>
      <w:r>
        <w:t>luminal</w:t>
      </w:r>
      <w:r w:rsidRPr="00892545">
        <w:rPr>
          <w:lang w:val="el-GR"/>
        </w:rPr>
        <w:t xml:space="preserve"> καρκίνο μαστού σταδίου Τ1–Τ2 και Ν1, καθώς και τα αντίστοιχα αποτελέσματα των γονιδιακών υπογραφών στις οποίες υποβλήθηκαν. Οι παράμετροι ηλικία, εμμηνοπαυσιακή κατάσταση, μέγεθος όγκου, αριθμός διηθημένων λεμφαδένων, </w:t>
      </w:r>
      <w:r>
        <w:t>grade</w:t>
      </w:r>
      <w:r w:rsidRPr="00892545">
        <w:rPr>
          <w:lang w:val="el-GR"/>
        </w:rPr>
        <w:t xml:space="preserve">, </w:t>
      </w:r>
      <w:r>
        <w:t>ER</w:t>
      </w:r>
      <w:r w:rsidRPr="00892545">
        <w:rPr>
          <w:lang w:val="el-GR"/>
        </w:rPr>
        <w:t xml:space="preserve"> και </w:t>
      </w:r>
      <w:r>
        <w:t>HER</w:t>
      </w:r>
      <w:r w:rsidRPr="00892545">
        <w:rPr>
          <w:lang w:val="el-GR"/>
        </w:rPr>
        <w:t xml:space="preserve">2 </w:t>
      </w:r>
      <w:r>
        <w:t>status</w:t>
      </w:r>
      <w:r w:rsidRPr="00892545">
        <w:rPr>
          <w:lang w:val="el-GR"/>
        </w:rPr>
        <w:t xml:space="preserve">, </w:t>
      </w:r>
      <w:r>
        <w:t>Ki</w:t>
      </w:r>
      <w:r w:rsidRPr="00892545">
        <w:rPr>
          <w:lang w:val="el-GR"/>
        </w:rPr>
        <w:t xml:space="preserve">67% και συμπτωματολογία εισήχθησαν στη δωρεάν μηχανή τεχνητής νοημοσύνης </w:t>
      </w:r>
      <w:r>
        <w:t>gpt</w:t>
      </w:r>
      <w:r w:rsidRPr="00892545">
        <w:rPr>
          <w:lang w:val="el-GR"/>
        </w:rPr>
        <w:t>-</w:t>
      </w:r>
      <w:r>
        <w:t>oss</w:t>
      </w:r>
      <w:r w:rsidRPr="00892545">
        <w:rPr>
          <w:lang w:val="el-GR"/>
        </w:rPr>
        <w:t>-120</w:t>
      </w:r>
      <w:r>
        <w:t>b</w:t>
      </w:r>
      <w:r w:rsidRPr="00892545">
        <w:rPr>
          <w:lang w:val="el-GR"/>
        </w:rPr>
        <w:t xml:space="preserve"> και τέθηκε το ερώτημα: «Με βάση τα χαρακτηριστικά της ασθενούς και δεδομένου ότι δεν υπάρχει διαθέσιμη γονιδιακή υπογραφή, θα έδινες ή όχι χημειοθεραπεία;». Οι απαντήσεις της </w:t>
      </w:r>
      <w:r>
        <w:t>AI</w:t>
      </w:r>
      <w:r w:rsidRPr="00892545">
        <w:rPr>
          <w:lang w:val="el-GR"/>
        </w:rPr>
        <w:t xml:space="preserve"> συγκρίθηκαν με τις αποφάσεις που βασίζονταν στη γονιδιακή υπογραφή.</w:t>
      </w:r>
    </w:p>
    <w:p w14:paraId="76F42F7C" w14:textId="77777777" w:rsidR="00892545" w:rsidRPr="00892545" w:rsidRDefault="00892545" w:rsidP="005B5526">
      <w:pPr>
        <w:jc w:val="both"/>
        <w:rPr>
          <w:lang w:val="el-GR"/>
        </w:rPr>
      </w:pPr>
      <w:r w:rsidRPr="00892545">
        <w:rPr>
          <w:lang w:val="el-GR"/>
        </w:rPr>
        <w:t xml:space="preserve"> </w:t>
      </w:r>
    </w:p>
    <w:p w14:paraId="10CEA900" w14:textId="77777777" w:rsidR="00892545" w:rsidRPr="00892545" w:rsidRDefault="00892545" w:rsidP="005B5526">
      <w:pPr>
        <w:jc w:val="both"/>
        <w:rPr>
          <w:lang w:val="el-GR"/>
        </w:rPr>
      </w:pPr>
      <w:r w:rsidRPr="00892545">
        <w:rPr>
          <w:lang w:val="el-GR"/>
        </w:rPr>
        <w:t>ΑΠΟΤΕΛΕΣΜΑΤΑ</w:t>
      </w:r>
    </w:p>
    <w:p w14:paraId="63362FB4" w14:textId="77777777" w:rsidR="00892545" w:rsidRPr="00892545" w:rsidRDefault="00892545" w:rsidP="005B5526">
      <w:pPr>
        <w:jc w:val="both"/>
        <w:rPr>
          <w:lang w:val="el-GR"/>
        </w:rPr>
      </w:pPr>
      <w:r w:rsidRPr="00892545">
        <w:rPr>
          <w:lang w:val="el-GR"/>
        </w:rPr>
        <w:t xml:space="preserve">Σε σύνολο 33 ασθενών, παρατηρήθηκε ασυμφωνία ως προς τη σύσταση για χημειοθεραπεία της </w:t>
      </w:r>
      <w:r>
        <w:t>AI</w:t>
      </w:r>
      <w:r w:rsidRPr="00892545">
        <w:rPr>
          <w:lang w:val="el-GR"/>
        </w:rPr>
        <w:t xml:space="preserve"> με τη γονιδιακή υπογραφή στις 15 από τις 33 ασθενείς (45,5%).</w:t>
      </w:r>
    </w:p>
    <w:p w14:paraId="30D0E9E7" w14:textId="77777777" w:rsidR="00892545" w:rsidRPr="00892545" w:rsidRDefault="00892545" w:rsidP="005B5526">
      <w:pPr>
        <w:jc w:val="both"/>
        <w:rPr>
          <w:lang w:val="el-GR"/>
        </w:rPr>
      </w:pPr>
      <w:r w:rsidRPr="00892545">
        <w:rPr>
          <w:lang w:val="el-GR"/>
        </w:rPr>
        <w:t xml:space="preserve">Ειδικότερα, από τις 20 ασθενείς για τις οποίες το </w:t>
      </w:r>
      <w:r>
        <w:t>AI</w:t>
      </w:r>
      <w:r w:rsidRPr="00892545">
        <w:rPr>
          <w:lang w:val="el-GR"/>
        </w:rPr>
        <w:t xml:space="preserve"> συνέστησε χημειοθεραπεία, οι 7 (35%) είχαν αρνητική γονιδιακή υπογραφή, δηλαδή χαμηλό όφελος από τη χημειοθεραπεία. Ενώ, από τις 13 ασθενείς για τις οποίες το </w:t>
      </w:r>
      <w:r>
        <w:t>AI</w:t>
      </w:r>
      <w:r w:rsidRPr="00892545">
        <w:rPr>
          <w:lang w:val="el-GR"/>
        </w:rPr>
        <w:t xml:space="preserve"> θεώρησε ότι η χημειοθεραπεία μπορεί να αποφευχθεί, οι 8 (61,5%) είχαν θετική υπογραφή.</w:t>
      </w:r>
    </w:p>
    <w:p w14:paraId="26ECE207" w14:textId="77777777" w:rsidR="00AA0E41" w:rsidRDefault="00892545" w:rsidP="005B5526">
      <w:pPr>
        <w:jc w:val="both"/>
        <w:rPr>
          <w:lang w:val="el-GR"/>
        </w:rPr>
      </w:pPr>
      <w:r w:rsidRPr="00892545">
        <w:rPr>
          <w:lang w:val="el-GR"/>
        </w:rPr>
        <w:t>Τέλος, οι δύο μέθοδοι συμφώνησαν ότι 13 από τους 33 ασθενείς (39,4%) χρειάζονται χημειοθεραπεία ενώ οι 5 (15,1%) όχι.</w:t>
      </w:r>
      <w:r w:rsidR="00AA0E41">
        <w:rPr>
          <w:lang w:val="el-GR"/>
        </w:rPr>
        <w:t xml:space="preserve"> </w:t>
      </w:r>
    </w:p>
    <w:p w14:paraId="59AA10C4" w14:textId="58C0BFB7" w:rsidR="00892545" w:rsidRPr="00892545" w:rsidRDefault="00AA0E41" w:rsidP="005B5526">
      <w:pPr>
        <w:jc w:val="both"/>
        <w:rPr>
          <w:lang w:val="el-GR"/>
        </w:rPr>
      </w:pPr>
      <w:r w:rsidRPr="00AA0E41">
        <w:rPr>
          <w:lang w:val="el-GR"/>
        </w:rPr>
        <w:t>Συνεπώς, η ευαισθησία της τεχνητής νοημοσύνης ήταν μόλις 61,9% και η ειδικότητα 41,7% (cohen kappa=0.035), γεγονός που υποδηλώνει μόνο ελάχιστη συμφωνία πέραν του τυχαίου στο συγκεκριμένο σύνολο</w:t>
      </w:r>
      <w:r w:rsidR="00646802">
        <w:rPr>
          <w:lang w:val="el-GR"/>
        </w:rPr>
        <w:t>.</w:t>
      </w:r>
    </w:p>
    <w:p w14:paraId="6C5224D7" w14:textId="77777777" w:rsidR="00892545" w:rsidRPr="00892545" w:rsidRDefault="00892545" w:rsidP="005B5526">
      <w:pPr>
        <w:jc w:val="both"/>
        <w:rPr>
          <w:lang w:val="el-GR"/>
        </w:rPr>
      </w:pPr>
      <w:r w:rsidRPr="00892545">
        <w:rPr>
          <w:lang w:val="el-GR"/>
        </w:rPr>
        <w:t xml:space="preserve"> </w:t>
      </w:r>
    </w:p>
    <w:p w14:paraId="265C2CB1" w14:textId="77777777" w:rsidR="00892545" w:rsidRPr="00892545" w:rsidRDefault="00892545" w:rsidP="005B5526">
      <w:pPr>
        <w:jc w:val="both"/>
        <w:rPr>
          <w:lang w:val="el-GR"/>
        </w:rPr>
      </w:pPr>
      <w:r w:rsidRPr="00892545">
        <w:rPr>
          <w:lang w:val="el-GR"/>
        </w:rPr>
        <w:t>ΣΥΜΠΕΡΑΣΜΑΤΑ</w:t>
      </w:r>
    </w:p>
    <w:p w14:paraId="16A1A39B" w14:textId="392B3B06" w:rsidR="00D2455C" w:rsidRPr="00892545" w:rsidRDefault="00892545" w:rsidP="005B5526">
      <w:pPr>
        <w:jc w:val="both"/>
        <w:rPr>
          <w:lang w:val="el-GR"/>
        </w:rPr>
      </w:pPr>
      <w:r w:rsidRPr="00892545">
        <w:rPr>
          <w:lang w:val="el-GR"/>
        </w:rPr>
        <w:t xml:space="preserve">Γίνεται σαφές ότι επί του παρόντος οι ευρέως διαθέσιμες εκδοχές της </w:t>
      </w:r>
      <w:r>
        <w:t>AI</w:t>
      </w:r>
      <w:r w:rsidRPr="00892545">
        <w:rPr>
          <w:lang w:val="el-GR"/>
        </w:rPr>
        <w:t xml:space="preserve"> δεν μπορούν να υποκαταστήσουν τις αναγνωρισμένες μεθόδους λήψης αποφάσεων σχετικών με τη χορήγηση ή μη επικουρικής χημειοθεραπείας τουλάχιστον σε ασθενείς με καρκίνο μαστού και λεμφαδενική συμμετοχή.</w:t>
      </w:r>
    </w:p>
    <w:sectPr w:rsidR="00D2455C" w:rsidRPr="00892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45"/>
    <w:rsid w:val="004B654D"/>
    <w:rsid w:val="005B5526"/>
    <w:rsid w:val="00646802"/>
    <w:rsid w:val="00892545"/>
    <w:rsid w:val="008D0422"/>
    <w:rsid w:val="00AA0E41"/>
    <w:rsid w:val="00D2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0481"/>
  <w15:chartTrackingRefBased/>
  <w15:docId w15:val="{8342B72A-AAA3-49A7-907E-BB315B54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545"/>
    <w:rPr>
      <w:rFonts w:eastAsiaTheme="majorEastAsia" w:cstheme="majorBidi"/>
      <w:color w:val="272727" w:themeColor="text1" w:themeTint="D8"/>
    </w:rPr>
  </w:style>
  <w:style w:type="paragraph" w:styleId="Title">
    <w:name w:val="Title"/>
    <w:basedOn w:val="Normal"/>
    <w:next w:val="Normal"/>
    <w:link w:val="TitleChar"/>
    <w:uiPriority w:val="10"/>
    <w:qFormat/>
    <w:rsid w:val="00892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545"/>
    <w:pPr>
      <w:spacing w:before="160"/>
      <w:jc w:val="center"/>
    </w:pPr>
    <w:rPr>
      <w:i/>
      <w:iCs/>
      <w:color w:val="404040" w:themeColor="text1" w:themeTint="BF"/>
    </w:rPr>
  </w:style>
  <w:style w:type="character" w:customStyle="1" w:styleId="QuoteChar">
    <w:name w:val="Quote Char"/>
    <w:basedOn w:val="DefaultParagraphFont"/>
    <w:link w:val="Quote"/>
    <w:uiPriority w:val="29"/>
    <w:rsid w:val="00892545"/>
    <w:rPr>
      <w:i/>
      <w:iCs/>
      <w:color w:val="404040" w:themeColor="text1" w:themeTint="BF"/>
    </w:rPr>
  </w:style>
  <w:style w:type="paragraph" w:styleId="ListParagraph">
    <w:name w:val="List Paragraph"/>
    <w:basedOn w:val="Normal"/>
    <w:uiPriority w:val="34"/>
    <w:qFormat/>
    <w:rsid w:val="00892545"/>
    <w:pPr>
      <w:ind w:left="720"/>
      <w:contextualSpacing/>
    </w:pPr>
  </w:style>
  <w:style w:type="character" w:styleId="IntenseEmphasis">
    <w:name w:val="Intense Emphasis"/>
    <w:basedOn w:val="DefaultParagraphFont"/>
    <w:uiPriority w:val="21"/>
    <w:qFormat/>
    <w:rsid w:val="00892545"/>
    <w:rPr>
      <w:i/>
      <w:iCs/>
      <w:color w:val="0F4761" w:themeColor="accent1" w:themeShade="BF"/>
    </w:rPr>
  </w:style>
  <w:style w:type="paragraph" w:styleId="IntenseQuote">
    <w:name w:val="Intense Quote"/>
    <w:basedOn w:val="Normal"/>
    <w:next w:val="Normal"/>
    <w:link w:val="IntenseQuoteChar"/>
    <w:uiPriority w:val="30"/>
    <w:qFormat/>
    <w:rsid w:val="00892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545"/>
    <w:rPr>
      <w:i/>
      <w:iCs/>
      <w:color w:val="0F4761" w:themeColor="accent1" w:themeShade="BF"/>
    </w:rPr>
  </w:style>
  <w:style w:type="character" w:styleId="IntenseReference">
    <w:name w:val="Intense Reference"/>
    <w:basedOn w:val="DefaultParagraphFont"/>
    <w:uiPriority w:val="32"/>
    <w:qFormat/>
    <w:rsid w:val="00892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Zachou</dc:creator>
  <cp:keywords/>
  <dc:description/>
  <cp:lastModifiedBy>Georgina Zachou</cp:lastModifiedBy>
  <cp:revision>5</cp:revision>
  <dcterms:created xsi:type="dcterms:W3CDTF">2025-10-23T15:14:00Z</dcterms:created>
  <dcterms:modified xsi:type="dcterms:W3CDTF">2025-10-23T15:44:00Z</dcterms:modified>
</cp:coreProperties>
</file>